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8C1" w:rsidRDefault="003C58C1" w:rsidP="003C58C1">
      <w:pPr>
        <w:rPr>
          <w:rFonts w:ascii="Verdana" w:hAnsi="Verdana"/>
          <w:sz w:val="48"/>
          <w:szCs w:val="40"/>
        </w:rPr>
      </w:pPr>
      <w:bookmarkStart w:id="0" w:name="_GoBack"/>
      <w:bookmarkEnd w:id="0"/>
    </w:p>
    <w:p w:rsidR="001B277B" w:rsidRDefault="001B277B" w:rsidP="003C58C1">
      <w:pPr>
        <w:rPr>
          <w:rFonts w:ascii="Verdana" w:hAnsi="Verdana"/>
          <w:sz w:val="48"/>
          <w:szCs w:val="40"/>
        </w:rPr>
      </w:pPr>
    </w:p>
    <w:p w:rsidR="001B277B" w:rsidRDefault="001B277B" w:rsidP="003C58C1">
      <w:pPr>
        <w:rPr>
          <w:rFonts w:ascii="Verdana" w:hAnsi="Verdana"/>
          <w:sz w:val="48"/>
          <w:szCs w:val="40"/>
        </w:rPr>
      </w:pPr>
    </w:p>
    <w:p w:rsidR="001B277B" w:rsidRPr="00FD0B92" w:rsidRDefault="001B277B" w:rsidP="003C58C1">
      <w:pPr>
        <w:rPr>
          <w:rFonts w:ascii="Verdana" w:hAnsi="Verdana"/>
          <w:sz w:val="48"/>
          <w:szCs w:val="40"/>
        </w:rPr>
      </w:pPr>
    </w:p>
    <w:p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  <w:r w:rsidRPr="00FD0B92">
        <w:rPr>
          <w:rFonts w:ascii="Verdana" w:hAnsi="Verdana" w:cs="Arial"/>
          <w:b/>
          <w:color w:val="002060"/>
          <w:sz w:val="48"/>
          <w:szCs w:val="40"/>
        </w:rPr>
        <w:t xml:space="preserve">Informe de Ejecución Presupuestaria </w:t>
      </w:r>
    </w:p>
    <w:p w:rsidR="00232AE0" w:rsidRPr="00FD0B92" w:rsidRDefault="00232AE0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  <w:r w:rsidRPr="00FD0B92">
        <w:rPr>
          <w:rFonts w:ascii="Verdana" w:hAnsi="Verdana" w:cs="Arial"/>
          <w:b/>
          <w:color w:val="002060"/>
          <w:sz w:val="48"/>
          <w:szCs w:val="40"/>
        </w:rPr>
        <w:t>Viceministerio</w:t>
      </w:r>
    </w:p>
    <w:p w:rsidR="003C58C1" w:rsidRPr="00FD0B92" w:rsidRDefault="00232AE0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  <w:r w:rsidRPr="00FD0B92">
        <w:rPr>
          <w:rFonts w:ascii="Verdana" w:hAnsi="Verdana" w:cs="Arial"/>
          <w:b/>
          <w:color w:val="002060"/>
          <w:sz w:val="48"/>
          <w:szCs w:val="40"/>
        </w:rPr>
        <w:t xml:space="preserve"> Administrativo y Financiero</w:t>
      </w:r>
      <w:r w:rsidR="003C58C1" w:rsidRPr="00FD0B92">
        <w:rPr>
          <w:rFonts w:ascii="Verdana" w:hAnsi="Verdana" w:cs="Arial"/>
          <w:b/>
          <w:color w:val="002060"/>
          <w:sz w:val="48"/>
          <w:szCs w:val="40"/>
        </w:rPr>
        <w:t xml:space="preserve"> </w:t>
      </w:r>
    </w:p>
    <w:p w:rsidR="003C58C1" w:rsidRPr="00FD0B92" w:rsidRDefault="00E01F10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  <w:r>
        <w:rPr>
          <w:rFonts w:ascii="Verdana" w:hAnsi="Verdana" w:cs="Arial"/>
          <w:b/>
          <w:color w:val="002060"/>
          <w:sz w:val="48"/>
          <w:szCs w:val="40"/>
        </w:rPr>
        <w:t>Mayo</w:t>
      </w:r>
      <w:r w:rsidR="00A05E3C">
        <w:rPr>
          <w:rFonts w:ascii="Verdana" w:hAnsi="Verdana" w:cs="Arial"/>
          <w:b/>
          <w:color w:val="002060"/>
          <w:sz w:val="48"/>
          <w:szCs w:val="40"/>
        </w:rPr>
        <w:t xml:space="preserve"> de 202</w:t>
      </w:r>
      <w:r w:rsidR="000E2CF9">
        <w:rPr>
          <w:rFonts w:ascii="Verdana" w:hAnsi="Verdana" w:cs="Arial"/>
          <w:b/>
          <w:color w:val="002060"/>
          <w:sz w:val="48"/>
          <w:szCs w:val="40"/>
        </w:rPr>
        <w:t>6</w:t>
      </w:r>
    </w:p>
    <w:p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:rsidR="00232AE0" w:rsidRPr="00FD0B92" w:rsidRDefault="00232AE0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:rsidR="003C58C1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  <w:szCs w:val="40"/>
        </w:rPr>
      </w:pPr>
    </w:p>
    <w:p w:rsidR="003C58C1" w:rsidRPr="00FD0B92" w:rsidRDefault="003C58C1" w:rsidP="003C58C1">
      <w:pPr>
        <w:pStyle w:val="NormalWeb"/>
        <w:spacing w:before="0" w:beforeAutospacing="0" w:after="0" w:afterAutospacing="0"/>
        <w:jc w:val="center"/>
        <w:rPr>
          <w:rFonts w:ascii="Verdana" w:hAnsi="Verdana" w:cs="Arial"/>
          <w:color w:val="000000" w:themeColor="text1"/>
          <w:sz w:val="48"/>
          <w:szCs w:val="40"/>
        </w:rPr>
      </w:pPr>
      <w:r w:rsidRPr="00FD0B92">
        <w:rPr>
          <w:rFonts w:ascii="Verdana" w:hAnsi="Verdana" w:cs="Arial"/>
          <w:b/>
          <w:color w:val="002060"/>
          <w:sz w:val="48"/>
          <w:szCs w:val="40"/>
        </w:rPr>
        <w:t>Dirección Financiera</w:t>
      </w:r>
    </w:p>
    <w:p w:rsidR="003C58C1" w:rsidRPr="00FD0B92" w:rsidRDefault="003C58C1" w:rsidP="003C58C1">
      <w:pPr>
        <w:rPr>
          <w:rFonts w:ascii="Verdana" w:hAnsi="Verdana" w:cs="Arial"/>
          <w:b/>
          <w:sz w:val="48"/>
          <w:szCs w:val="40"/>
        </w:rPr>
      </w:pPr>
    </w:p>
    <w:p w:rsidR="00D0390A" w:rsidRPr="00FD0B92" w:rsidRDefault="00D0390A" w:rsidP="003C58C1">
      <w:pPr>
        <w:rPr>
          <w:rFonts w:ascii="Verdana" w:hAnsi="Verdana" w:cs="Arial"/>
          <w:b/>
          <w:sz w:val="48"/>
          <w:szCs w:val="40"/>
        </w:rPr>
      </w:pPr>
    </w:p>
    <w:p w:rsidR="002C7F50" w:rsidRPr="0010018F" w:rsidRDefault="002C7F50" w:rsidP="003C58C1">
      <w:pPr>
        <w:rPr>
          <w:rFonts w:ascii="Verdana" w:hAnsi="Verdana" w:cs="Arial"/>
          <w:b/>
        </w:rPr>
      </w:pPr>
    </w:p>
    <w:p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lastRenderedPageBreak/>
        <w:t>INFORME DE EJECUCIÓN PRESUPUESTARIA</w:t>
      </w:r>
    </w:p>
    <w:p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 xml:space="preserve">DEL </w:t>
      </w:r>
      <w:r w:rsidR="00A0775C" w:rsidRPr="0010018F">
        <w:rPr>
          <w:rFonts w:ascii="Verdana" w:hAnsi="Verdana" w:cs="Arial"/>
          <w:b/>
          <w:lang w:val="es-MX"/>
        </w:rPr>
        <w:t>VICEMINISTERIO ADMINISTRATIVO Y FINANCIERO</w:t>
      </w:r>
    </w:p>
    <w:p w:rsidR="003C58C1" w:rsidRPr="0010018F" w:rsidRDefault="00E01F10" w:rsidP="003C58C1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MAYO</w:t>
      </w:r>
      <w:r w:rsidR="000E2CF9">
        <w:rPr>
          <w:rFonts w:ascii="Verdana" w:hAnsi="Verdana" w:cs="Arial"/>
          <w:b/>
          <w:lang w:val="es-MX"/>
        </w:rPr>
        <w:t xml:space="preserve"> DE 2026</w:t>
      </w:r>
    </w:p>
    <w:p w:rsidR="003C58C1" w:rsidRPr="0010018F" w:rsidRDefault="003C58C1" w:rsidP="003C58C1">
      <w:pPr>
        <w:rPr>
          <w:rFonts w:ascii="Verdana" w:hAnsi="Verdana" w:cs="Arial"/>
          <w:b/>
          <w:lang w:val="es-MX"/>
        </w:rPr>
      </w:pPr>
    </w:p>
    <w:p w:rsidR="003C58C1" w:rsidRPr="0010018F" w:rsidRDefault="003C58C1" w:rsidP="003C58C1">
      <w:pPr>
        <w:pStyle w:val="Sinespaciado"/>
        <w:jc w:val="both"/>
        <w:rPr>
          <w:rFonts w:ascii="Verdana" w:eastAsiaTheme="minorEastAsia" w:hAnsi="Verdana" w:cs="Arial"/>
          <w:sz w:val="24"/>
          <w:szCs w:val="24"/>
          <w:lang w:eastAsia="es-GT"/>
        </w:rPr>
      </w:pPr>
      <w:r w:rsidRPr="0010018F">
        <w:rPr>
          <w:rFonts w:ascii="Verdana" w:eastAsiaTheme="minorEastAsia" w:hAnsi="Verdana" w:cs="Arial"/>
          <w:sz w:val="24"/>
          <w:szCs w:val="24"/>
          <w:lang w:eastAsia="es-GT"/>
        </w:rPr>
        <w:t xml:space="preserve">El Ministerio de Economía es la entidad encargada de hacer cumplir el régimen jurídico relativo al desarrollo de las actividades productivas no agropecuarias, del comercio interno y externo, de la protección al consumidor, del fomento a la competencia, de la represión legal de la competencia desleal, de la limitación al funcionamiento de empresas monopólicas; de inversión nacional y extranjera, de promoción a la competitividad, del desarrollo industrial y comercial. </w:t>
      </w:r>
      <w:sdt>
        <w:sdtPr>
          <w:rPr>
            <w:rFonts w:ascii="Verdana" w:eastAsiaTheme="minorEastAsia" w:hAnsi="Verdana" w:cs="Arial"/>
            <w:sz w:val="24"/>
            <w:szCs w:val="24"/>
            <w:lang w:eastAsia="es-GT"/>
          </w:rPr>
          <w:id w:val="-594325228"/>
          <w:citation/>
        </w:sdtPr>
        <w:sdtEndPr/>
        <w:sdtContent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fldChar w:fldCharType="begin"/>
          </w:r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instrText xml:space="preserve"> CITATION Ley97 \l 4106 </w:instrText>
          </w:r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fldChar w:fldCharType="separate"/>
          </w:r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t>(Ley del Organismo Ejecutivo, 1997)</w:t>
          </w:r>
          <w:r w:rsidRPr="0010018F">
            <w:rPr>
              <w:rFonts w:ascii="Verdana" w:eastAsiaTheme="minorEastAsia" w:hAnsi="Verdana" w:cs="Arial"/>
              <w:sz w:val="24"/>
              <w:szCs w:val="24"/>
              <w:lang w:eastAsia="es-GT"/>
            </w:rPr>
            <w:fldChar w:fldCharType="end"/>
          </w:r>
        </w:sdtContent>
      </w:sdt>
    </w:p>
    <w:p w:rsidR="003C58C1" w:rsidRPr="0010018F" w:rsidRDefault="003C58C1" w:rsidP="003C58C1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:rsidR="00AB55BD" w:rsidRDefault="00AB55BD" w:rsidP="00AB55BD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 xml:space="preserve">Para lograr su objetivo cuenta con cinco Viceministerios y cada uno tiene un presupuesto asignado, a su vez, a nivel administrativo cuenta con unidades de apoyo que se consolidan en el Despacho Superior. </w:t>
      </w:r>
    </w:p>
    <w:p w:rsidR="00AB55BD" w:rsidRDefault="00AB55BD" w:rsidP="00AB55BD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:rsidR="00AB55BD" w:rsidRDefault="00AB55BD" w:rsidP="00AB55BD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 xml:space="preserve">Al Viceministerio le fue asignado un presupuesto de </w:t>
      </w:r>
      <w:r>
        <w:rPr>
          <w:rFonts w:ascii="Verdana" w:eastAsia="Calibri" w:hAnsi="Verdana" w:cs="Arial"/>
          <w:b/>
          <w:szCs w:val="24"/>
          <w:lang w:val="es-MX" w:eastAsia="en-US"/>
        </w:rPr>
        <w:t>Q250,333,741.00</w:t>
      </w:r>
      <w:r>
        <w:rPr>
          <w:rFonts w:ascii="Verdana" w:eastAsia="Calibri" w:hAnsi="Verdana" w:cs="Arial"/>
          <w:szCs w:val="24"/>
          <w:lang w:val="es-MX" w:eastAsia="en-US"/>
        </w:rPr>
        <w:t xml:space="preserve">, modificándose la cantidad de </w:t>
      </w:r>
      <w:r>
        <w:rPr>
          <w:rFonts w:ascii="Verdana" w:eastAsia="Calibri" w:hAnsi="Verdana" w:cs="Arial"/>
          <w:b/>
          <w:szCs w:val="24"/>
          <w:lang w:val="es-MX" w:eastAsia="en-US"/>
        </w:rPr>
        <w:t>Q14,574</w:t>
      </w:r>
      <w:r>
        <w:rPr>
          <w:rFonts w:ascii="Verdana" w:eastAsia="Calibri" w:hAnsi="Verdana" w:cs="Arial"/>
          <w:szCs w:val="24"/>
          <w:lang w:val="es-MX" w:eastAsia="en-US"/>
        </w:rPr>
        <w:t>,</w:t>
      </w:r>
      <w:r>
        <w:rPr>
          <w:rFonts w:ascii="Verdana" w:eastAsia="Calibri" w:hAnsi="Verdana" w:cs="Arial"/>
          <w:b/>
          <w:szCs w:val="24"/>
          <w:lang w:val="es-MX" w:eastAsia="en-US"/>
        </w:rPr>
        <w:t>944.00</w:t>
      </w:r>
      <w:r>
        <w:rPr>
          <w:rFonts w:ascii="Verdana" w:eastAsia="Calibri" w:hAnsi="Verdana" w:cs="Arial"/>
          <w:szCs w:val="24"/>
          <w:lang w:val="es-MX" w:eastAsia="en-US"/>
        </w:rPr>
        <w:t xml:space="preserve"> ascendiendo a un presupuesto vigente de </w:t>
      </w:r>
      <w:r>
        <w:rPr>
          <w:rFonts w:ascii="Verdana" w:eastAsia="Calibri" w:hAnsi="Verdana" w:cs="Arial"/>
          <w:b/>
          <w:szCs w:val="24"/>
          <w:lang w:val="es-MX" w:eastAsia="en-US"/>
        </w:rPr>
        <w:t>Q264,908.685.00</w:t>
      </w:r>
      <w:r>
        <w:rPr>
          <w:rFonts w:ascii="Verdana" w:eastAsia="Calibri" w:hAnsi="Verdana" w:cs="Arial"/>
          <w:szCs w:val="24"/>
          <w:lang w:val="es-MX" w:eastAsia="en-US"/>
        </w:rPr>
        <w:t xml:space="preserve">, del cual al cierre de mayo reportó una ejecución acumulada de gastos de funcionamiento e inversión de </w:t>
      </w:r>
      <w:r>
        <w:rPr>
          <w:rFonts w:ascii="Verdana" w:eastAsia="Calibri" w:hAnsi="Verdana" w:cs="Arial"/>
          <w:b/>
          <w:szCs w:val="24"/>
          <w:lang w:val="es-MX" w:eastAsia="en-US"/>
        </w:rPr>
        <w:t>Q80,977,341.48</w:t>
      </w:r>
      <w:r>
        <w:rPr>
          <w:rFonts w:ascii="Verdana" w:eastAsia="Calibri" w:hAnsi="Verdana" w:cs="Arial"/>
          <w:szCs w:val="24"/>
          <w:lang w:val="es-MX" w:eastAsia="en-US"/>
        </w:rPr>
        <w:t xml:space="preserve">, equivalente al </w:t>
      </w:r>
      <w:r w:rsidRPr="00AB55BD">
        <w:rPr>
          <w:rFonts w:ascii="Verdana" w:eastAsia="Calibri" w:hAnsi="Verdana" w:cs="Arial"/>
          <w:b/>
          <w:szCs w:val="24"/>
          <w:lang w:val="es-MX" w:eastAsia="en-US"/>
        </w:rPr>
        <w:t>30.57</w:t>
      </w:r>
      <w:r>
        <w:rPr>
          <w:rFonts w:ascii="Verdana" w:eastAsia="Calibri" w:hAnsi="Verdana" w:cs="Arial"/>
          <w:b/>
          <w:szCs w:val="24"/>
          <w:lang w:val="es-MX" w:eastAsia="en-US"/>
        </w:rPr>
        <w:t xml:space="preserve">%. </w:t>
      </w:r>
    </w:p>
    <w:p w:rsidR="003C58C1" w:rsidRPr="0010018F" w:rsidRDefault="003C58C1" w:rsidP="003C58C1">
      <w:pPr>
        <w:rPr>
          <w:rFonts w:ascii="Verdana" w:hAnsi="Verdana" w:cs="Arial"/>
          <w:b/>
          <w:lang w:val="es-MX"/>
        </w:rPr>
      </w:pPr>
    </w:p>
    <w:p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Gráfica No. 1</w:t>
      </w:r>
    </w:p>
    <w:p w:rsidR="0008228E" w:rsidRPr="0010018F" w:rsidRDefault="0008228E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Viceministerio Administrativo y Financiero</w:t>
      </w:r>
    </w:p>
    <w:p w:rsidR="003C58C1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Ejecución Presupuestaria</w:t>
      </w:r>
    </w:p>
    <w:p w:rsidR="006967CA" w:rsidRPr="00E01F10" w:rsidRDefault="00D7379F" w:rsidP="00E01F10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noProof/>
          <w:lang w:eastAsia="es-GT"/>
        </w:rPr>
        <w:drawing>
          <wp:inline distT="0" distB="0" distL="0" distR="0" wp14:anchorId="7FAA9232" wp14:editId="279ADD56">
            <wp:extent cx="2819731" cy="2426383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986" cy="2439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67CA" w:rsidRDefault="006967CA" w:rsidP="006967CA">
      <w:pPr>
        <w:rPr>
          <w:rFonts w:ascii="Verdana" w:hAnsi="Verdana" w:cs="Arial"/>
          <w:b/>
          <w:sz w:val="14"/>
          <w:lang w:val="es-MX"/>
        </w:rPr>
      </w:pPr>
    </w:p>
    <w:p w:rsidR="003C58C1" w:rsidRDefault="006C28B9" w:rsidP="006C28B9">
      <w:pPr>
        <w:ind w:left="708" w:firstLine="708"/>
        <w:rPr>
          <w:rFonts w:ascii="Verdana" w:hAnsi="Verdana" w:cs="Arial"/>
          <w:sz w:val="14"/>
          <w:lang w:val="es-MX"/>
        </w:rPr>
      </w:pPr>
      <w:r>
        <w:rPr>
          <w:rFonts w:ascii="Verdana" w:hAnsi="Verdana" w:cs="Arial"/>
          <w:b/>
          <w:sz w:val="14"/>
          <w:lang w:val="es-MX"/>
        </w:rPr>
        <w:t xml:space="preserve"> </w:t>
      </w:r>
      <w:r w:rsidR="003C58C1" w:rsidRPr="006014DF">
        <w:rPr>
          <w:rFonts w:ascii="Verdana" w:hAnsi="Verdana" w:cs="Arial"/>
          <w:b/>
          <w:sz w:val="14"/>
          <w:lang w:val="es-MX"/>
        </w:rPr>
        <w:t>Fuente:</w:t>
      </w:r>
      <w:r w:rsidR="003C58C1" w:rsidRPr="006014DF">
        <w:rPr>
          <w:rFonts w:ascii="Verdana" w:hAnsi="Verdana" w:cs="Arial"/>
          <w:sz w:val="14"/>
          <w:lang w:val="es-MX"/>
        </w:rPr>
        <w:t xml:space="preserve"> Sis</w:t>
      </w:r>
      <w:r w:rsidR="003D10AA" w:rsidRPr="006014DF">
        <w:rPr>
          <w:rFonts w:ascii="Verdana" w:hAnsi="Verdana" w:cs="Arial"/>
          <w:sz w:val="14"/>
          <w:lang w:val="es-MX"/>
        </w:rPr>
        <w:t>tema de Contabilidad Integrada</w:t>
      </w:r>
      <w:r w:rsidR="00C141C8">
        <w:rPr>
          <w:rFonts w:ascii="Verdana" w:hAnsi="Verdana" w:cs="Arial"/>
          <w:sz w:val="14"/>
          <w:lang w:val="es-MX"/>
        </w:rPr>
        <w:t xml:space="preserve"> </w:t>
      </w:r>
      <w:r>
        <w:rPr>
          <w:rFonts w:ascii="Verdana" w:hAnsi="Verdana" w:cs="Arial"/>
          <w:sz w:val="14"/>
          <w:lang w:val="es-MX"/>
        </w:rPr>
        <w:t>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 w:rsidR="006967CA">
        <w:rPr>
          <w:rFonts w:ascii="Verdana" w:hAnsi="Verdana" w:cs="Arial"/>
          <w:sz w:val="14"/>
          <w:lang w:val="es-MX"/>
        </w:rPr>
        <w:t>0</w:t>
      </w:r>
      <w:r w:rsidR="00E01F10">
        <w:rPr>
          <w:rFonts w:ascii="Verdana" w:hAnsi="Verdana" w:cs="Arial"/>
          <w:sz w:val="14"/>
          <w:lang w:val="es-MX"/>
        </w:rPr>
        <w:t>1</w:t>
      </w:r>
      <w:r w:rsidR="006967CA">
        <w:rPr>
          <w:rFonts w:ascii="Verdana" w:hAnsi="Verdana" w:cs="Arial"/>
          <w:sz w:val="14"/>
          <w:lang w:val="es-MX"/>
        </w:rPr>
        <w:t>/0</w:t>
      </w:r>
      <w:r w:rsidR="00E01F10">
        <w:rPr>
          <w:rFonts w:ascii="Verdana" w:hAnsi="Verdana" w:cs="Arial"/>
          <w:sz w:val="14"/>
          <w:lang w:val="es-MX"/>
        </w:rPr>
        <w:t>6</w:t>
      </w:r>
      <w:r w:rsidR="00CD2C63">
        <w:rPr>
          <w:rFonts w:ascii="Verdana" w:hAnsi="Verdana" w:cs="Arial"/>
          <w:sz w:val="14"/>
          <w:lang w:val="es-MX"/>
        </w:rPr>
        <w:t>/2026</w:t>
      </w:r>
    </w:p>
    <w:p w:rsidR="00E21A6F" w:rsidRDefault="00E21A6F" w:rsidP="006C28B9">
      <w:pPr>
        <w:ind w:left="708" w:firstLine="708"/>
        <w:rPr>
          <w:rFonts w:ascii="Verdana" w:hAnsi="Verdana" w:cs="Arial"/>
          <w:sz w:val="16"/>
          <w:lang w:val="es-MX"/>
        </w:rPr>
      </w:pPr>
    </w:p>
    <w:p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lastRenderedPageBreak/>
        <w:t>Gráfica No. 2</w:t>
      </w:r>
    </w:p>
    <w:p w:rsidR="0029077D" w:rsidRDefault="0029077D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Viceministerio Administrativo y Financiero</w:t>
      </w:r>
    </w:p>
    <w:p w:rsidR="006324F5" w:rsidRDefault="006C28B9" w:rsidP="006C28B9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 por grupo de gasto</w:t>
      </w:r>
    </w:p>
    <w:p w:rsidR="006324F5" w:rsidRDefault="006324F5" w:rsidP="006C28B9">
      <w:pPr>
        <w:jc w:val="center"/>
        <w:rPr>
          <w:rFonts w:ascii="Verdana" w:hAnsi="Verdana" w:cs="Arial"/>
          <w:b/>
          <w:lang w:val="es-MX"/>
        </w:rPr>
      </w:pPr>
    </w:p>
    <w:p w:rsidR="00A865DC" w:rsidRDefault="00D7379F">
      <w:pPr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noProof/>
          <w:lang w:eastAsia="es-GT"/>
        </w:rPr>
        <w:drawing>
          <wp:inline distT="0" distB="0" distL="0" distR="0" wp14:anchorId="12CE867C" wp14:editId="2B20A453">
            <wp:extent cx="6008914" cy="4004082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996" cy="40581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65DC" w:rsidRDefault="00A865DC">
      <w:pPr>
        <w:rPr>
          <w:rFonts w:ascii="Verdana" w:hAnsi="Verdana" w:cs="Arial"/>
          <w:b/>
          <w:lang w:val="es-MX"/>
        </w:rPr>
      </w:pPr>
    </w:p>
    <w:p w:rsidR="00A865DC" w:rsidRDefault="00AB55BD" w:rsidP="006324F5">
      <w:pPr>
        <w:rPr>
          <w:rFonts w:ascii="Verdana" w:hAnsi="Verdana" w:cs="Arial"/>
          <w:b/>
          <w:sz w:val="14"/>
          <w:lang w:val="es-MX"/>
        </w:rPr>
      </w:pPr>
      <w:r w:rsidRPr="00AB55BD">
        <w:rPr>
          <w:noProof/>
          <w:lang w:eastAsia="es-GT"/>
        </w:rPr>
        <w:drawing>
          <wp:inline distT="0" distB="0" distL="0" distR="0" wp14:anchorId="18016A5F" wp14:editId="4920DA2F">
            <wp:extent cx="5612130" cy="1489914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489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5DC" w:rsidRDefault="00A865DC" w:rsidP="006324F5">
      <w:pPr>
        <w:rPr>
          <w:rFonts w:ascii="Verdana" w:hAnsi="Verdana" w:cs="Arial"/>
          <w:b/>
          <w:sz w:val="14"/>
          <w:lang w:val="es-MX"/>
        </w:rPr>
      </w:pPr>
    </w:p>
    <w:p w:rsidR="006324F5" w:rsidRPr="00A865DC" w:rsidRDefault="00A278F5" w:rsidP="006324F5">
      <w:pPr>
        <w:rPr>
          <w:rFonts w:ascii="Verdana" w:hAnsi="Verdana" w:cs="Arial"/>
          <w:b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</w:t>
      </w:r>
      <w:r>
        <w:rPr>
          <w:rFonts w:ascii="Verdana" w:hAnsi="Verdana" w:cs="Arial"/>
          <w:sz w:val="14"/>
          <w:lang w:val="es-MX"/>
        </w:rPr>
        <w:t xml:space="preserve"> </w:t>
      </w:r>
      <w:r w:rsidR="006C28B9">
        <w:rPr>
          <w:rFonts w:ascii="Verdana" w:hAnsi="Verdana" w:cs="Arial"/>
          <w:sz w:val="14"/>
          <w:lang w:val="es-MX"/>
        </w:rPr>
        <w:t>(</w:t>
      </w:r>
      <w:proofErr w:type="spellStart"/>
      <w:r w:rsidR="006C28B9"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="006C28B9" w:rsidRPr="006014DF">
        <w:rPr>
          <w:rFonts w:ascii="Verdana" w:hAnsi="Verdana" w:cs="Arial"/>
          <w:sz w:val="14"/>
          <w:lang w:val="es-MX"/>
        </w:rPr>
        <w:t xml:space="preserve">) </w:t>
      </w:r>
      <w:r w:rsidR="00E01F10">
        <w:rPr>
          <w:rFonts w:ascii="Verdana" w:hAnsi="Verdana" w:cs="Arial"/>
          <w:sz w:val="14"/>
          <w:lang w:val="es-MX"/>
        </w:rPr>
        <w:t>01/06</w:t>
      </w:r>
      <w:r w:rsidR="00CD2C63">
        <w:rPr>
          <w:rFonts w:ascii="Verdana" w:hAnsi="Verdana" w:cs="Arial"/>
          <w:sz w:val="14"/>
          <w:lang w:val="es-MX"/>
        </w:rPr>
        <w:t>/2026</w:t>
      </w:r>
    </w:p>
    <w:p w:rsidR="00367CA5" w:rsidRDefault="00367CA5" w:rsidP="006324F5">
      <w:pPr>
        <w:rPr>
          <w:rFonts w:ascii="Verdana" w:hAnsi="Verdana" w:cs="Arial"/>
          <w:sz w:val="14"/>
          <w:lang w:val="es-MX"/>
        </w:rPr>
      </w:pPr>
    </w:p>
    <w:p w:rsidR="00367CA5" w:rsidRDefault="00367CA5" w:rsidP="006324F5">
      <w:pPr>
        <w:rPr>
          <w:rFonts w:ascii="Verdana" w:hAnsi="Verdana" w:cs="Arial"/>
          <w:sz w:val="16"/>
          <w:lang w:val="es-MX"/>
        </w:rPr>
      </w:pPr>
    </w:p>
    <w:p w:rsidR="00884387" w:rsidRDefault="00884387" w:rsidP="006324F5">
      <w:pPr>
        <w:rPr>
          <w:rFonts w:ascii="Verdana" w:hAnsi="Verdana" w:cs="Arial"/>
          <w:lang w:val="es-MX"/>
        </w:rPr>
      </w:pPr>
    </w:p>
    <w:p w:rsidR="00A865DC" w:rsidRDefault="00A865DC" w:rsidP="00FF00ED">
      <w:pPr>
        <w:jc w:val="both"/>
        <w:rPr>
          <w:rFonts w:ascii="Verdana" w:hAnsi="Verdana" w:cs="Arial"/>
          <w:lang w:val="es-MX"/>
        </w:rPr>
      </w:pPr>
    </w:p>
    <w:p w:rsidR="00FF00ED" w:rsidRDefault="00A865DC" w:rsidP="00FF00ED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lastRenderedPageBreak/>
        <w:t>E</w:t>
      </w:r>
      <w:r w:rsidR="00FF00ED">
        <w:rPr>
          <w:rFonts w:ascii="Verdana" w:hAnsi="Verdana" w:cs="Arial"/>
          <w:lang w:val="es-MX"/>
        </w:rPr>
        <w:t>l cuadro uno</w:t>
      </w:r>
      <w:r w:rsidR="00FF00ED" w:rsidRPr="00732114">
        <w:rPr>
          <w:rFonts w:ascii="Verdana" w:hAnsi="Verdana" w:cs="Arial"/>
          <w:lang w:val="es-MX"/>
        </w:rPr>
        <w:t xml:space="preserve"> </w:t>
      </w:r>
      <w:r w:rsidR="00FF00ED">
        <w:rPr>
          <w:rFonts w:ascii="Verdana" w:hAnsi="Verdana" w:cs="Arial"/>
          <w:lang w:val="es-MX"/>
        </w:rPr>
        <w:t xml:space="preserve">presenta </w:t>
      </w:r>
      <w:r w:rsidR="00FF00ED" w:rsidRPr="00732114">
        <w:rPr>
          <w:rFonts w:ascii="Verdana" w:hAnsi="Verdana" w:cs="Arial"/>
          <w:lang w:val="es-MX"/>
        </w:rPr>
        <w:t>la ejecución presupuestaria de los gastos</w:t>
      </w:r>
      <w:r w:rsidR="00FF00ED">
        <w:rPr>
          <w:rFonts w:ascii="Verdana" w:hAnsi="Verdana" w:cs="Arial"/>
          <w:lang w:val="es-MX"/>
        </w:rPr>
        <w:t xml:space="preserve"> erogados</w:t>
      </w:r>
      <w:r w:rsidR="00FF00ED" w:rsidRPr="00732114">
        <w:rPr>
          <w:rFonts w:ascii="Verdana" w:hAnsi="Verdana" w:cs="Arial"/>
          <w:lang w:val="es-MX"/>
        </w:rPr>
        <w:t xml:space="preserve"> </w:t>
      </w:r>
      <w:r w:rsidR="00FF00ED">
        <w:rPr>
          <w:rFonts w:ascii="Verdana" w:hAnsi="Verdana" w:cs="Arial"/>
          <w:lang w:val="es-MX"/>
        </w:rPr>
        <w:t>por</w:t>
      </w:r>
      <w:r w:rsidR="00FF00ED" w:rsidRPr="00732114">
        <w:rPr>
          <w:rFonts w:ascii="Verdana" w:hAnsi="Verdana" w:cs="Arial"/>
          <w:lang w:val="es-MX"/>
        </w:rPr>
        <w:t xml:space="preserve"> dependencias </w:t>
      </w:r>
      <w:r w:rsidR="00FF00ED">
        <w:rPr>
          <w:rFonts w:ascii="Verdana" w:hAnsi="Verdana" w:cs="Arial"/>
          <w:lang w:val="es-MX"/>
        </w:rPr>
        <w:t>y tipo de gasto, los cuales</w:t>
      </w:r>
      <w:r w:rsidR="00FF00ED" w:rsidRPr="00732114">
        <w:rPr>
          <w:rFonts w:ascii="Verdana" w:hAnsi="Verdana" w:cs="Arial"/>
          <w:lang w:val="es-MX"/>
        </w:rPr>
        <w:t xml:space="preserve"> </w:t>
      </w:r>
      <w:r w:rsidR="00FF00ED">
        <w:rPr>
          <w:rFonts w:ascii="Verdana" w:hAnsi="Verdana" w:cs="Arial"/>
          <w:lang w:val="es-MX"/>
        </w:rPr>
        <w:t>contemplan pago</w:t>
      </w:r>
      <w:r w:rsidR="006324F5">
        <w:rPr>
          <w:rFonts w:ascii="Verdana" w:hAnsi="Verdana" w:cs="Arial"/>
          <w:lang w:val="es-MX"/>
        </w:rPr>
        <w:t>s de nómina servicios y transferencias corrientes.</w:t>
      </w:r>
    </w:p>
    <w:p w:rsidR="00E21A6F" w:rsidRPr="00732114" w:rsidRDefault="00E21A6F" w:rsidP="00FF00ED">
      <w:pPr>
        <w:jc w:val="both"/>
        <w:rPr>
          <w:rFonts w:ascii="Verdana" w:hAnsi="Verdana" w:cs="Arial"/>
          <w:lang w:val="es-MX"/>
        </w:rPr>
      </w:pPr>
    </w:p>
    <w:p w:rsidR="003C58C1" w:rsidRPr="0010018F" w:rsidRDefault="003C58C1" w:rsidP="003C58C1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Cuadro No. 1</w:t>
      </w:r>
    </w:p>
    <w:p w:rsidR="00A0775C" w:rsidRPr="0010018F" w:rsidRDefault="00A0775C" w:rsidP="00A0775C">
      <w:pPr>
        <w:jc w:val="center"/>
        <w:rPr>
          <w:rFonts w:ascii="Verdana" w:hAnsi="Verdana" w:cs="Arial"/>
          <w:b/>
          <w:lang w:val="es-MX"/>
        </w:rPr>
      </w:pPr>
      <w:r w:rsidRPr="0010018F">
        <w:rPr>
          <w:rFonts w:ascii="Verdana" w:hAnsi="Verdana" w:cs="Arial"/>
          <w:b/>
          <w:lang w:val="es-MX"/>
        </w:rPr>
        <w:t>Viceministerio Administrativo y Financiero</w:t>
      </w:r>
    </w:p>
    <w:p w:rsidR="003C58C1" w:rsidRDefault="00880247" w:rsidP="003C58C1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</w:t>
      </w:r>
      <w:r w:rsidRPr="00732114">
        <w:rPr>
          <w:rFonts w:ascii="Verdana" w:hAnsi="Verdana" w:cs="Arial"/>
          <w:b/>
          <w:lang w:val="es-MX"/>
        </w:rPr>
        <w:t>resupuesto</w:t>
      </w:r>
      <w:r w:rsidR="005C6CD0">
        <w:rPr>
          <w:rFonts w:ascii="Verdana" w:hAnsi="Verdana" w:cs="Arial"/>
          <w:b/>
          <w:lang w:val="es-MX"/>
        </w:rPr>
        <w:t xml:space="preserve"> por dependencias</w:t>
      </w:r>
      <w:r w:rsidR="004D6840" w:rsidRPr="0010018F">
        <w:rPr>
          <w:rFonts w:ascii="Verdana" w:hAnsi="Verdana" w:cs="Arial"/>
          <w:b/>
          <w:lang w:val="es-MX"/>
        </w:rPr>
        <w:t xml:space="preserve"> y</w:t>
      </w:r>
      <w:r w:rsidR="003C58C1" w:rsidRPr="0010018F">
        <w:rPr>
          <w:rFonts w:ascii="Verdana" w:hAnsi="Verdana" w:cs="Arial"/>
          <w:b/>
          <w:lang w:val="es-MX"/>
        </w:rPr>
        <w:t xml:space="preserve"> grupo de gasto</w:t>
      </w:r>
    </w:p>
    <w:p w:rsidR="00AB55BD" w:rsidRDefault="00AB55BD" w:rsidP="003C58C1">
      <w:pPr>
        <w:jc w:val="center"/>
        <w:rPr>
          <w:rFonts w:ascii="Verdana" w:hAnsi="Verdana" w:cs="Arial"/>
          <w:b/>
          <w:lang w:val="es-MX"/>
        </w:rPr>
      </w:pPr>
    </w:p>
    <w:p w:rsidR="00E21A6F" w:rsidRDefault="00E21A6F" w:rsidP="003C58C1">
      <w:pPr>
        <w:jc w:val="center"/>
        <w:rPr>
          <w:rFonts w:ascii="Verdana" w:hAnsi="Verdana" w:cs="Arial"/>
          <w:b/>
          <w:lang w:val="es-MX"/>
        </w:rPr>
      </w:pPr>
    </w:p>
    <w:p w:rsidR="006F3A97" w:rsidRDefault="00AB55BD" w:rsidP="00A51C2E">
      <w:pPr>
        <w:rPr>
          <w:rFonts w:ascii="Verdana" w:hAnsi="Verdana" w:cs="Arial"/>
          <w:b/>
          <w:sz w:val="14"/>
          <w:lang w:val="es-MX"/>
        </w:rPr>
      </w:pPr>
      <w:r w:rsidRPr="00AB55BD">
        <w:rPr>
          <w:noProof/>
          <w:lang w:eastAsia="es-GT"/>
        </w:rPr>
        <w:drawing>
          <wp:inline distT="0" distB="0" distL="0" distR="0" wp14:anchorId="6287F0FE" wp14:editId="40C1B746">
            <wp:extent cx="5612130" cy="5001260"/>
            <wp:effectExtent l="0" t="0" r="762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00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BA2" w:rsidRPr="0010018F" w:rsidRDefault="00A278F5" w:rsidP="00A51C2E">
      <w:pPr>
        <w:rPr>
          <w:rFonts w:ascii="Verdana" w:hAnsi="Verdana" w:cs="Arial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</w:t>
      </w:r>
      <w:r>
        <w:rPr>
          <w:rFonts w:ascii="Verdana" w:hAnsi="Verdana" w:cs="Arial"/>
          <w:sz w:val="14"/>
          <w:lang w:val="es-MX"/>
        </w:rPr>
        <w:t xml:space="preserve"> </w:t>
      </w:r>
      <w:r w:rsidR="00DC1BED">
        <w:rPr>
          <w:rFonts w:ascii="Verdana" w:hAnsi="Verdana" w:cs="Arial"/>
          <w:sz w:val="14"/>
          <w:lang w:val="es-MX"/>
        </w:rPr>
        <w:t>(</w:t>
      </w:r>
      <w:proofErr w:type="spellStart"/>
      <w:r w:rsidR="00DC1BED"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="00DC1BED" w:rsidRPr="006014DF">
        <w:rPr>
          <w:rFonts w:ascii="Verdana" w:hAnsi="Verdana" w:cs="Arial"/>
          <w:sz w:val="14"/>
          <w:lang w:val="es-MX"/>
        </w:rPr>
        <w:t xml:space="preserve">) </w:t>
      </w:r>
      <w:r w:rsidR="00CD2C63">
        <w:rPr>
          <w:rFonts w:ascii="Verdana" w:hAnsi="Verdana" w:cs="Arial"/>
          <w:sz w:val="14"/>
          <w:lang w:val="es-MX"/>
        </w:rPr>
        <w:t>0</w:t>
      </w:r>
      <w:r w:rsidR="00E01F10">
        <w:rPr>
          <w:rFonts w:ascii="Verdana" w:hAnsi="Verdana" w:cs="Arial"/>
          <w:sz w:val="14"/>
          <w:lang w:val="es-MX"/>
        </w:rPr>
        <w:t>1</w:t>
      </w:r>
      <w:r w:rsidR="00CD2C63">
        <w:rPr>
          <w:rFonts w:ascii="Verdana" w:hAnsi="Verdana" w:cs="Arial"/>
          <w:sz w:val="14"/>
          <w:lang w:val="es-MX"/>
        </w:rPr>
        <w:t>/0</w:t>
      </w:r>
      <w:r w:rsidR="00E01F10">
        <w:rPr>
          <w:rFonts w:ascii="Verdana" w:hAnsi="Verdana" w:cs="Arial"/>
          <w:sz w:val="14"/>
          <w:lang w:val="es-MX"/>
        </w:rPr>
        <w:t>6</w:t>
      </w:r>
      <w:r w:rsidR="00CD2C63">
        <w:rPr>
          <w:rFonts w:ascii="Verdana" w:hAnsi="Verdana" w:cs="Arial"/>
          <w:sz w:val="14"/>
          <w:lang w:val="es-MX"/>
        </w:rPr>
        <w:t>/2026</w:t>
      </w:r>
    </w:p>
    <w:p w:rsidR="006F3A97" w:rsidRDefault="006F3A97" w:rsidP="00C63679">
      <w:pPr>
        <w:jc w:val="both"/>
        <w:rPr>
          <w:rFonts w:ascii="Verdana" w:hAnsi="Verdana" w:cs="Arial"/>
          <w:lang w:val="es-MX"/>
        </w:rPr>
      </w:pPr>
    </w:p>
    <w:p w:rsidR="00C63679" w:rsidRPr="00EB602F" w:rsidRDefault="00C63679" w:rsidP="00C63679">
      <w:pPr>
        <w:jc w:val="both"/>
        <w:rPr>
          <w:rFonts w:ascii="Verdana" w:hAnsi="Verdana" w:cs="Arial"/>
          <w:b/>
          <w:sz w:val="14"/>
          <w:lang w:val="es-MX"/>
        </w:rPr>
      </w:pPr>
      <w:r w:rsidRPr="00BC5E60">
        <w:rPr>
          <w:rFonts w:ascii="Verdana" w:hAnsi="Verdana" w:cs="Arial"/>
          <w:lang w:val="es-MX"/>
        </w:rPr>
        <w:t>El cuadro dos detalla el comportamiento de las cuotas financieras</w:t>
      </w:r>
      <w:r w:rsidR="007761D5">
        <w:rPr>
          <w:rFonts w:ascii="Verdana" w:hAnsi="Verdana" w:cs="Arial"/>
          <w:lang w:val="es-MX"/>
        </w:rPr>
        <w:t xml:space="preserve"> acumuladas</w:t>
      </w:r>
      <w:r w:rsidRPr="00BC5E60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 xml:space="preserve">solicitadas y utilizadas por la unidad ejecutora adscrita al Viceministerio, </w:t>
      </w:r>
      <w:r w:rsidRPr="00BC5E60">
        <w:rPr>
          <w:rFonts w:ascii="Verdana" w:hAnsi="Verdana" w:cs="Arial"/>
          <w:lang w:val="es-MX"/>
        </w:rPr>
        <w:t>según las distintas fuentes de financiamiento.</w:t>
      </w:r>
    </w:p>
    <w:p w:rsidR="00A51C2E" w:rsidRDefault="00A51C2E" w:rsidP="003C58C1">
      <w:pPr>
        <w:jc w:val="both"/>
        <w:rPr>
          <w:rFonts w:ascii="Verdana" w:hAnsi="Verdana" w:cs="Arial"/>
          <w:lang w:val="es-MX"/>
        </w:rPr>
      </w:pPr>
    </w:p>
    <w:p w:rsidR="00EC5230" w:rsidRPr="007B181F" w:rsidRDefault="00EC5230" w:rsidP="00EC5230">
      <w:pPr>
        <w:jc w:val="center"/>
        <w:rPr>
          <w:rFonts w:ascii="Verdana" w:hAnsi="Verdana" w:cs="Arial"/>
          <w:b/>
          <w:lang w:val="es-MX"/>
        </w:rPr>
      </w:pPr>
      <w:r w:rsidRPr="007B181F">
        <w:rPr>
          <w:rFonts w:ascii="Verdana" w:hAnsi="Verdana" w:cs="Arial"/>
          <w:b/>
          <w:lang w:val="es-MX"/>
        </w:rPr>
        <w:t>Cuadro No. 2</w:t>
      </w:r>
    </w:p>
    <w:p w:rsidR="00EC5230" w:rsidRPr="007B181F" w:rsidRDefault="00EC5230" w:rsidP="00EC5230">
      <w:pPr>
        <w:jc w:val="center"/>
        <w:rPr>
          <w:rFonts w:ascii="Verdana" w:hAnsi="Verdana" w:cs="Arial"/>
          <w:b/>
          <w:lang w:val="es-MX"/>
        </w:rPr>
      </w:pPr>
      <w:r w:rsidRPr="007B181F">
        <w:rPr>
          <w:rFonts w:ascii="Verdana" w:hAnsi="Verdana" w:cs="Arial"/>
          <w:b/>
          <w:lang w:val="es-MX"/>
        </w:rPr>
        <w:t>Viceministerio Administrativo y Financiero</w:t>
      </w:r>
    </w:p>
    <w:p w:rsidR="005E467A" w:rsidRDefault="005E467A" w:rsidP="00EC5230">
      <w:pPr>
        <w:jc w:val="center"/>
        <w:rPr>
          <w:rFonts w:ascii="Verdana" w:hAnsi="Verdana" w:cs="Arial"/>
          <w:b/>
          <w:lang w:val="es-MX"/>
        </w:rPr>
      </w:pPr>
      <w:r w:rsidRPr="007B181F">
        <w:rPr>
          <w:rFonts w:ascii="Verdana" w:hAnsi="Verdana" w:cs="Arial"/>
          <w:b/>
          <w:lang w:val="es-MX"/>
        </w:rPr>
        <w:t>Informe de Ejecución de Cuota Financiera</w:t>
      </w:r>
    </w:p>
    <w:p w:rsidR="007B181F" w:rsidRDefault="007B181F" w:rsidP="00EC5230">
      <w:pPr>
        <w:jc w:val="center"/>
        <w:rPr>
          <w:rFonts w:ascii="Verdana" w:hAnsi="Verdana" w:cs="Arial"/>
          <w:b/>
          <w:lang w:val="es-MX"/>
        </w:rPr>
      </w:pPr>
    </w:p>
    <w:p w:rsidR="00C63679" w:rsidRPr="0010018F" w:rsidRDefault="00C63679" w:rsidP="00EC5230">
      <w:pPr>
        <w:jc w:val="center"/>
        <w:rPr>
          <w:rFonts w:ascii="Verdana" w:hAnsi="Verdana" w:cs="Arial"/>
          <w:b/>
          <w:lang w:val="es-MX"/>
        </w:rPr>
      </w:pPr>
    </w:p>
    <w:p w:rsidR="0063380F" w:rsidRPr="0010018F" w:rsidRDefault="00E01F10" w:rsidP="003C58C1">
      <w:pPr>
        <w:rPr>
          <w:rFonts w:ascii="Verdana" w:hAnsi="Verdana"/>
          <w:noProof/>
          <w:lang w:eastAsia="es-GT"/>
        </w:rPr>
      </w:pPr>
      <w:r w:rsidRPr="00E01F10">
        <w:rPr>
          <w:noProof/>
          <w:lang w:eastAsia="es-GT"/>
        </w:rPr>
        <w:drawing>
          <wp:inline distT="0" distB="0" distL="0" distR="0" wp14:anchorId="235F4EDC" wp14:editId="095F3E16">
            <wp:extent cx="5612130" cy="2152663"/>
            <wp:effectExtent l="19050" t="19050" r="26670" b="1905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152663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722C4" w:rsidRDefault="00F722C4" w:rsidP="00935ECE">
      <w:pPr>
        <w:rPr>
          <w:rFonts w:ascii="Verdana" w:hAnsi="Verdana" w:cs="Arial"/>
          <w:b/>
          <w:sz w:val="14"/>
          <w:highlight w:val="yellow"/>
          <w:lang w:val="es-MX"/>
        </w:rPr>
      </w:pPr>
    </w:p>
    <w:p w:rsidR="00935ECE" w:rsidRPr="002204FB" w:rsidRDefault="008F3EFC" w:rsidP="00935ECE">
      <w:pPr>
        <w:rPr>
          <w:rFonts w:ascii="Verdana" w:hAnsi="Verdana" w:cs="Arial"/>
          <w:color w:val="000000" w:themeColor="text1"/>
          <w:sz w:val="16"/>
        </w:rPr>
      </w:pPr>
      <w:r w:rsidRPr="00F722C4">
        <w:rPr>
          <w:rFonts w:ascii="Verdana" w:hAnsi="Verdana" w:cs="Arial"/>
          <w:b/>
          <w:sz w:val="14"/>
          <w:lang w:val="es-MX"/>
        </w:rPr>
        <w:t>Fuente:</w:t>
      </w:r>
      <w:r w:rsidRPr="00F722C4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F722C4">
        <w:rPr>
          <w:rFonts w:ascii="Verdana" w:hAnsi="Verdana" w:cs="Arial"/>
          <w:sz w:val="14"/>
          <w:lang w:val="es-MX"/>
        </w:rPr>
        <w:t>Sicoin</w:t>
      </w:r>
      <w:proofErr w:type="spellEnd"/>
      <w:r w:rsidRPr="00F722C4">
        <w:rPr>
          <w:rFonts w:ascii="Verdana" w:hAnsi="Verdana" w:cs="Arial"/>
          <w:sz w:val="14"/>
          <w:lang w:val="es-MX"/>
        </w:rPr>
        <w:t>)</w:t>
      </w:r>
      <w:r w:rsidR="00935ECE" w:rsidRPr="00F722C4">
        <w:rPr>
          <w:rFonts w:ascii="Verdana" w:hAnsi="Verdana" w:cs="Arial"/>
          <w:sz w:val="14"/>
          <w:lang w:val="es-MX"/>
        </w:rPr>
        <w:t xml:space="preserve"> </w:t>
      </w:r>
      <w:r w:rsidR="00E01F10">
        <w:rPr>
          <w:rFonts w:ascii="Verdana" w:hAnsi="Verdana" w:cs="Arial"/>
          <w:sz w:val="14"/>
          <w:lang w:val="es-MX"/>
        </w:rPr>
        <w:t>01/06/2026</w:t>
      </w:r>
    </w:p>
    <w:p w:rsidR="00935ECE" w:rsidRPr="00D806CC" w:rsidRDefault="00935ECE" w:rsidP="00935ECE">
      <w:pPr>
        <w:rPr>
          <w:rFonts w:ascii="Verdana" w:hAnsi="Verdana" w:cs="Arial"/>
          <w:sz w:val="16"/>
        </w:rPr>
      </w:pPr>
    </w:p>
    <w:p w:rsidR="003C58C1" w:rsidRPr="0010018F" w:rsidRDefault="003C58C1" w:rsidP="00A51C2E">
      <w:pPr>
        <w:rPr>
          <w:rFonts w:ascii="Verdana" w:hAnsi="Verdana" w:cs="Arial"/>
          <w:b/>
          <w:lang w:val="es-MX"/>
        </w:rPr>
      </w:pPr>
    </w:p>
    <w:p w:rsidR="003C58C1" w:rsidRPr="0010018F" w:rsidRDefault="003C58C1" w:rsidP="003C58C1">
      <w:pPr>
        <w:rPr>
          <w:rFonts w:ascii="Verdana" w:hAnsi="Verdana" w:cs="Arial"/>
          <w:b/>
          <w:lang w:val="es-MX"/>
        </w:rPr>
      </w:pPr>
    </w:p>
    <w:p w:rsidR="003C58C1" w:rsidRPr="0010018F" w:rsidRDefault="003C58C1" w:rsidP="003C58C1">
      <w:pPr>
        <w:rPr>
          <w:rFonts w:ascii="Verdana" w:hAnsi="Verdana"/>
        </w:rPr>
      </w:pPr>
    </w:p>
    <w:p w:rsidR="003C58C1" w:rsidRPr="0010018F" w:rsidRDefault="003C58C1" w:rsidP="003C58C1">
      <w:pPr>
        <w:rPr>
          <w:rFonts w:ascii="Verdana" w:hAnsi="Verdana"/>
        </w:rPr>
      </w:pPr>
    </w:p>
    <w:p w:rsidR="003C58C1" w:rsidRPr="0010018F" w:rsidRDefault="003C58C1" w:rsidP="003C58C1">
      <w:pPr>
        <w:rPr>
          <w:rFonts w:ascii="Verdana" w:hAnsi="Verdana"/>
        </w:rPr>
      </w:pPr>
    </w:p>
    <w:p w:rsidR="003C58C1" w:rsidRPr="0010018F" w:rsidRDefault="003C58C1" w:rsidP="003C58C1">
      <w:pPr>
        <w:rPr>
          <w:rFonts w:ascii="Verdana" w:hAnsi="Verdana"/>
        </w:rPr>
      </w:pPr>
    </w:p>
    <w:p w:rsidR="003C58C1" w:rsidRPr="0010018F" w:rsidRDefault="003C58C1" w:rsidP="003C58C1">
      <w:pPr>
        <w:rPr>
          <w:rFonts w:ascii="Verdana" w:hAnsi="Verdana"/>
        </w:rPr>
      </w:pPr>
    </w:p>
    <w:p w:rsidR="003C58C1" w:rsidRPr="0010018F" w:rsidRDefault="003C58C1" w:rsidP="003C58C1">
      <w:pPr>
        <w:rPr>
          <w:rFonts w:ascii="Verdana" w:hAnsi="Verdana"/>
        </w:rPr>
      </w:pPr>
    </w:p>
    <w:p w:rsidR="003C58C1" w:rsidRPr="0010018F" w:rsidRDefault="003C58C1" w:rsidP="003C58C1">
      <w:pPr>
        <w:rPr>
          <w:rFonts w:ascii="Verdana" w:hAnsi="Verdana"/>
        </w:rPr>
      </w:pPr>
    </w:p>
    <w:p w:rsidR="003C58C1" w:rsidRPr="0010018F" w:rsidRDefault="003C58C1" w:rsidP="003C58C1">
      <w:pPr>
        <w:rPr>
          <w:rFonts w:ascii="Verdana" w:hAnsi="Verdana"/>
        </w:rPr>
      </w:pPr>
    </w:p>
    <w:p w:rsidR="003C58C1" w:rsidRPr="0010018F" w:rsidRDefault="003C58C1" w:rsidP="003C58C1">
      <w:pPr>
        <w:rPr>
          <w:rFonts w:ascii="Verdana" w:hAnsi="Verdana"/>
        </w:rPr>
      </w:pPr>
    </w:p>
    <w:p w:rsidR="003C58C1" w:rsidRPr="0010018F" w:rsidRDefault="003C58C1" w:rsidP="003C58C1">
      <w:pPr>
        <w:rPr>
          <w:rFonts w:ascii="Verdana" w:hAnsi="Verdana"/>
        </w:rPr>
      </w:pPr>
      <w:r w:rsidRPr="0010018F">
        <w:rPr>
          <w:rFonts w:ascii="Verdana" w:hAnsi="Verdana"/>
        </w:rPr>
        <w:t xml:space="preserve"> </w:t>
      </w:r>
    </w:p>
    <w:p w:rsidR="00EB2464" w:rsidRPr="0010018F" w:rsidRDefault="00EB2464" w:rsidP="1A98FAC5">
      <w:pPr>
        <w:rPr>
          <w:rFonts w:ascii="Verdana" w:hAnsi="Verdana" w:cs="Times New Roman"/>
        </w:rPr>
      </w:pPr>
    </w:p>
    <w:sectPr w:rsidR="00EB2464" w:rsidRPr="0010018F" w:rsidSect="0042301A">
      <w:headerReference w:type="default" r:id="rId12"/>
      <w:footerReference w:type="default" r:id="rId13"/>
      <w:pgSz w:w="12240" w:h="15840"/>
      <w:pgMar w:top="243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A2D" w:rsidRDefault="007C5A2D" w:rsidP="00950217">
      <w:r>
        <w:separator/>
      </w:r>
    </w:p>
  </w:endnote>
  <w:endnote w:type="continuationSeparator" w:id="0">
    <w:p w:rsidR="007C5A2D" w:rsidRDefault="007C5A2D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61956080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A2D" w:rsidRDefault="007C5A2D" w:rsidP="00950217">
      <w:r>
        <w:separator/>
      </w:r>
    </w:p>
  </w:footnote>
  <w:footnote w:type="continuationSeparator" w:id="0">
    <w:p w:rsidR="007C5A2D" w:rsidRDefault="007C5A2D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6192" behindDoc="1" locked="0" layoutInCell="1" allowOverlap="1" wp14:anchorId="6BDEEEAB" wp14:editId="7D06F49F">
          <wp:simplePos x="0" y="0"/>
          <wp:positionH relativeFrom="page">
            <wp:align>left</wp:align>
          </wp:positionH>
          <wp:positionV relativeFrom="paragraph">
            <wp:posOffset>-192405</wp:posOffset>
          </wp:positionV>
          <wp:extent cx="7753350" cy="1283452"/>
          <wp:effectExtent l="0" t="0" r="0" b="0"/>
          <wp:wrapNone/>
          <wp:docPr id="922632323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17"/>
    <w:rsid w:val="00062442"/>
    <w:rsid w:val="00065455"/>
    <w:rsid w:val="00067FD4"/>
    <w:rsid w:val="000710D3"/>
    <w:rsid w:val="0008228E"/>
    <w:rsid w:val="00087890"/>
    <w:rsid w:val="00095311"/>
    <w:rsid w:val="000A36F1"/>
    <w:rsid w:val="000B0DB4"/>
    <w:rsid w:val="000D76D9"/>
    <w:rsid w:val="000E2CF9"/>
    <w:rsid w:val="000F2A38"/>
    <w:rsid w:val="000F3C7C"/>
    <w:rsid w:val="0010018F"/>
    <w:rsid w:val="00132BE5"/>
    <w:rsid w:val="00146D88"/>
    <w:rsid w:val="001713F1"/>
    <w:rsid w:val="00171D36"/>
    <w:rsid w:val="00172F0D"/>
    <w:rsid w:val="00183A5B"/>
    <w:rsid w:val="00186B2D"/>
    <w:rsid w:val="00192610"/>
    <w:rsid w:val="001B277B"/>
    <w:rsid w:val="001C5C06"/>
    <w:rsid w:val="002234DC"/>
    <w:rsid w:val="00225485"/>
    <w:rsid w:val="00232AE0"/>
    <w:rsid w:val="00233659"/>
    <w:rsid w:val="0023402E"/>
    <w:rsid w:val="00241FB3"/>
    <w:rsid w:val="002669D7"/>
    <w:rsid w:val="002746AB"/>
    <w:rsid w:val="00283696"/>
    <w:rsid w:val="00283BA1"/>
    <w:rsid w:val="0029077D"/>
    <w:rsid w:val="002C167F"/>
    <w:rsid w:val="002C1852"/>
    <w:rsid w:val="002C2478"/>
    <w:rsid w:val="002C34A0"/>
    <w:rsid w:val="002C5E03"/>
    <w:rsid w:val="002C7F50"/>
    <w:rsid w:val="002D5CD2"/>
    <w:rsid w:val="003076C0"/>
    <w:rsid w:val="00323D37"/>
    <w:rsid w:val="00330FD9"/>
    <w:rsid w:val="00355238"/>
    <w:rsid w:val="00367079"/>
    <w:rsid w:val="00367CA5"/>
    <w:rsid w:val="00377D36"/>
    <w:rsid w:val="003B0020"/>
    <w:rsid w:val="003C1FC0"/>
    <w:rsid w:val="003C58C1"/>
    <w:rsid w:val="003D10AA"/>
    <w:rsid w:val="003E373F"/>
    <w:rsid w:val="0042301A"/>
    <w:rsid w:val="00451D63"/>
    <w:rsid w:val="004601D8"/>
    <w:rsid w:val="00475580"/>
    <w:rsid w:val="004C7A6F"/>
    <w:rsid w:val="004D6840"/>
    <w:rsid w:val="00507D19"/>
    <w:rsid w:val="005423E5"/>
    <w:rsid w:val="005755DA"/>
    <w:rsid w:val="0059116D"/>
    <w:rsid w:val="00595ADF"/>
    <w:rsid w:val="005A00F4"/>
    <w:rsid w:val="005A1A74"/>
    <w:rsid w:val="005A37C3"/>
    <w:rsid w:val="005A3F85"/>
    <w:rsid w:val="005C4EEB"/>
    <w:rsid w:val="005C6CD0"/>
    <w:rsid w:val="005E453A"/>
    <w:rsid w:val="005E467A"/>
    <w:rsid w:val="006014DF"/>
    <w:rsid w:val="00620E0D"/>
    <w:rsid w:val="006324F5"/>
    <w:rsid w:val="0063380F"/>
    <w:rsid w:val="00644A73"/>
    <w:rsid w:val="00664C5B"/>
    <w:rsid w:val="00682980"/>
    <w:rsid w:val="006967CA"/>
    <w:rsid w:val="006B6611"/>
    <w:rsid w:val="006C28B9"/>
    <w:rsid w:val="006C630D"/>
    <w:rsid w:val="006E1C78"/>
    <w:rsid w:val="006E32FB"/>
    <w:rsid w:val="006F3A97"/>
    <w:rsid w:val="00733A93"/>
    <w:rsid w:val="0074326E"/>
    <w:rsid w:val="007761D5"/>
    <w:rsid w:val="007B181F"/>
    <w:rsid w:val="007C3871"/>
    <w:rsid w:val="007C5A2D"/>
    <w:rsid w:val="007E7728"/>
    <w:rsid w:val="007F0D20"/>
    <w:rsid w:val="0080655B"/>
    <w:rsid w:val="008147DB"/>
    <w:rsid w:val="00826473"/>
    <w:rsid w:val="00835ABF"/>
    <w:rsid w:val="0084765B"/>
    <w:rsid w:val="008501ED"/>
    <w:rsid w:val="008652CB"/>
    <w:rsid w:val="00870270"/>
    <w:rsid w:val="008719D3"/>
    <w:rsid w:val="00880247"/>
    <w:rsid w:val="00884387"/>
    <w:rsid w:val="00891D77"/>
    <w:rsid w:val="008973EC"/>
    <w:rsid w:val="008A5167"/>
    <w:rsid w:val="008B23D2"/>
    <w:rsid w:val="008E47E2"/>
    <w:rsid w:val="008F3EFC"/>
    <w:rsid w:val="009245E4"/>
    <w:rsid w:val="009344C5"/>
    <w:rsid w:val="00935ECE"/>
    <w:rsid w:val="0094053F"/>
    <w:rsid w:val="009457A0"/>
    <w:rsid w:val="00950217"/>
    <w:rsid w:val="009604D8"/>
    <w:rsid w:val="0097181F"/>
    <w:rsid w:val="00984526"/>
    <w:rsid w:val="009A4973"/>
    <w:rsid w:val="009B2559"/>
    <w:rsid w:val="009B3FF7"/>
    <w:rsid w:val="009B7CF9"/>
    <w:rsid w:val="009E5161"/>
    <w:rsid w:val="009F48B3"/>
    <w:rsid w:val="00A04E30"/>
    <w:rsid w:val="00A05E3C"/>
    <w:rsid w:val="00A07044"/>
    <w:rsid w:val="00A0775C"/>
    <w:rsid w:val="00A278F5"/>
    <w:rsid w:val="00A445F8"/>
    <w:rsid w:val="00A51C2E"/>
    <w:rsid w:val="00A76169"/>
    <w:rsid w:val="00A865DC"/>
    <w:rsid w:val="00A96E21"/>
    <w:rsid w:val="00AB55BD"/>
    <w:rsid w:val="00AE1BA2"/>
    <w:rsid w:val="00AE291C"/>
    <w:rsid w:val="00AE788E"/>
    <w:rsid w:val="00B64464"/>
    <w:rsid w:val="00B65E65"/>
    <w:rsid w:val="00B71889"/>
    <w:rsid w:val="00B9700C"/>
    <w:rsid w:val="00B97FD3"/>
    <w:rsid w:val="00BA014C"/>
    <w:rsid w:val="00BA1CBE"/>
    <w:rsid w:val="00BA7526"/>
    <w:rsid w:val="00BB35A3"/>
    <w:rsid w:val="00BD216F"/>
    <w:rsid w:val="00BE202A"/>
    <w:rsid w:val="00BE4C5C"/>
    <w:rsid w:val="00BE691F"/>
    <w:rsid w:val="00BE6DE5"/>
    <w:rsid w:val="00C00EE7"/>
    <w:rsid w:val="00C07E0B"/>
    <w:rsid w:val="00C07E36"/>
    <w:rsid w:val="00C141C8"/>
    <w:rsid w:val="00C15CA9"/>
    <w:rsid w:val="00C2788A"/>
    <w:rsid w:val="00C414FA"/>
    <w:rsid w:val="00C42C5A"/>
    <w:rsid w:val="00C52434"/>
    <w:rsid w:val="00C63679"/>
    <w:rsid w:val="00C77100"/>
    <w:rsid w:val="00C84850"/>
    <w:rsid w:val="00C87E6F"/>
    <w:rsid w:val="00CA246F"/>
    <w:rsid w:val="00CB079E"/>
    <w:rsid w:val="00CB1E55"/>
    <w:rsid w:val="00CD04A9"/>
    <w:rsid w:val="00CD2C63"/>
    <w:rsid w:val="00CD3C2E"/>
    <w:rsid w:val="00CF72F1"/>
    <w:rsid w:val="00D020F9"/>
    <w:rsid w:val="00D0390A"/>
    <w:rsid w:val="00D05526"/>
    <w:rsid w:val="00D20B54"/>
    <w:rsid w:val="00D210B2"/>
    <w:rsid w:val="00D55C6F"/>
    <w:rsid w:val="00D7379F"/>
    <w:rsid w:val="00D919C7"/>
    <w:rsid w:val="00D9377F"/>
    <w:rsid w:val="00DA4990"/>
    <w:rsid w:val="00DC1BED"/>
    <w:rsid w:val="00DC38C1"/>
    <w:rsid w:val="00DC7FC9"/>
    <w:rsid w:val="00DD69AC"/>
    <w:rsid w:val="00E01F10"/>
    <w:rsid w:val="00E05420"/>
    <w:rsid w:val="00E20A1F"/>
    <w:rsid w:val="00E21A6F"/>
    <w:rsid w:val="00E301A8"/>
    <w:rsid w:val="00E3744B"/>
    <w:rsid w:val="00E377DA"/>
    <w:rsid w:val="00E44F25"/>
    <w:rsid w:val="00E51136"/>
    <w:rsid w:val="00E52979"/>
    <w:rsid w:val="00E6135C"/>
    <w:rsid w:val="00E917BC"/>
    <w:rsid w:val="00EB2464"/>
    <w:rsid w:val="00EB343C"/>
    <w:rsid w:val="00EB4305"/>
    <w:rsid w:val="00EC5230"/>
    <w:rsid w:val="00EC71E1"/>
    <w:rsid w:val="00ED2FA1"/>
    <w:rsid w:val="00F021DD"/>
    <w:rsid w:val="00F35387"/>
    <w:rsid w:val="00F56B68"/>
    <w:rsid w:val="00F722C4"/>
    <w:rsid w:val="00F7289A"/>
    <w:rsid w:val="00F82360"/>
    <w:rsid w:val="00F83C31"/>
    <w:rsid w:val="00FD0B92"/>
    <w:rsid w:val="00FF00ED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C58C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3C58C1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3C58C1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Ley97</b:Tag>
    <b:SourceType>JournalArticle</b:SourceType>
    <b:Guid>{34E94D7C-98DF-40F9-B134-B4E8BEB46618}</b:Guid>
    <b:Title>Ley del Organismo Ejecutivo</b:Title>
    <b:Year>1997</b:Year>
    <b:JournalName>Decreto No. 114-97</b:JournalName>
    <b:RefOrder>1</b:RefOrder>
  </b:Source>
</b:Sources>
</file>

<file path=customXml/itemProps1.xml><?xml version="1.0" encoding="utf-8"?>
<ds:datastoreItem xmlns:ds="http://schemas.openxmlformats.org/officeDocument/2006/customXml" ds:itemID="{0EE286DC-98D6-4AAA-B158-DADF1F655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 arrivillaga</dc:creator>
  <cp:lastModifiedBy>Lesly Michelle Escobar Catalan</cp:lastModifiedBy>
  <cp:revision>2</cp:revision>
  <cp:lastPrinted>2026-01-19T23:22:00Z</cp:lastPrinted>
  <dcterms:created xsi:type="dcterms:W3CDTF">2026-06-08T22:08:00Z</dcterms:created>
  <dcterms:modified xsi:type="dcterms:W3CDTF">2026-06-08T22:08:00Z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