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36185A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73F732AB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0FB93A47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676B38F0" w:rsidR="003C58C1" w:rsidRPr="00FD0B92" w:rsidRDefault="00840834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Marzo</w:t>
      </w:r>
      <w:r w:rsidR="00A05E3C">
        <w:rPr>
          <w:rFonts w:ascii="Verdana" w:hAnsi="Verdana" w:cs="Arial"/>
          <w:b/>
          <w:color w:val="002060"/>
          <w:sz w:val="48"/>
          <w:szCs w:val="40"/>
        </w:rPr>
        <w:t xml:space="preserve"> de 2025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27B8DB6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24312E15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6F6A6F89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EC83A86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34F5CA34" w14:textId="77777777" w:rsidR="002C7F50" w:rsidRPr="0010018F" w:rsidRDefault="002C7F50" w:rsidP="003C58C1">
      <w:pPr>
        <w:rPr>
          <w:rFonts w:ascii="Verdana" w:hAnsi="Verdana" w:cs="Arial"/>
          <w:b/>
        </w:rPr>
      </w:pPr>
    </w:p>
    <w:p w14:paraId="472CFDF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17A9D607" w:rsidR="003C58C1" w:rsidRPr="0010018F" w:rsidRDefault="00B54CA2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MARZO</w:t>
      </w:r>
      <w:r w:rsidR="00E917BC">
        <w:rPr>
          <w:rFonts w:ascii="Verdana" w:hAnsi="Verdana" w:cs="Arial"/>
          <w:b/>
          <w:lang w:val="es-MX"/>
        </w:rPr>
        <w:t xml:space="preserve"> DE 2025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152B54D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EndPr/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6FECAD5D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F4A2563" w14:textId="68636F85" w:rsidR="00DE048C" w:rsidRPr="00840834" w:rsidRDefault="00E05420" w:rsidP="00DE048C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Viceministerio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le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Q250,33</w:t>
      </w:r>
      <w:r w:rsidR="000F3C7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,741.00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00EE7">
        <w:rPr>
          <w:rFonts w:ascii="Verdana" w:eastAsia="Calibri" w:hAnsi="Verdana" w:cs="Arial"/>
          <w:szCs w:val="24"/>
          <w:lang w:val="es-MX" w:eastAsia="en-US"/>
        </w:rPr>
        <w:t>modificándos</w:t>
      </w:r>
      <w:r w:rsidR="002C167F">
        <w:rPr>
          <w:rFonts w:ascii="Verdana" w:eastAsia="Calibri" w:hAnsi="Verdana" w:cs="Arial"/>
          <w:szCs w:val="24"/>
          <w:lang w:val="es-MX" w:eastAsia="en-US"/>
        </w:rPr>
        <w:t>e</w:t>
      </w:r>
      <w:r w:rsidR="00E20A1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la cantidad de </w:t>
      </w:r>
      <w:r w:rsidR="00682980" w:rsidRPr="00682980">
        <w:rPr>
          <w:rFonts w:ascii="Verdana" w:eastAsia="Calibri" w:hAnsi="Verdana" w:cs="Arial"/>
          <w:b/>
          <w:szCs w:val="24"/>
          <w:lang w:val="es-MX" w:eastAsia="en-US"/>
        </w:rPr>
        <w:t>-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20A1F">
        <w:rPr>
          <w:rFonts w:ascii="Verdana" w:eastAsia="Calibri" w:hAnsi="Verdana" w:cs="Arial"/>
          <w:b/>
          <w:szCs w:val="24"/>
          <w:lang w:val="es-MX" w:eastAsia="en-US"/>
        </w:rPr>
        <w:t>22</w:t>
      </w:r>
      <w:r w:rsidR="00682980" w:rsidRPr="00682980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CE5DB2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840834">
        <w:rPr>
          <w:rFonts w:ascii="Verdana" w:eastAsia="Calibri" w:hAnsi="Verdana" w:cs="Arial"/>
          <w:b/>
          <w:szCs w:val="24"/>
          <w:lang w:val="es-MX" w:eastAsia="en-US"/>
        </w:rPr>
        <w:t>91,660.00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2C167F">
        <w:rPr>
          <w:rFonts w:ascii="Verdana" w:eastAsia="Calibri" w:hAnsi="Verdana" w:cs="Arial"/>
          <w:szCs w:val="24"/>
          <w:lang w:val="es-MX" w:eastAsia="en-US"/>
        </w:rPr>
        <w:t>descendiendo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a un 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 w:rsidR="00CE5DB2">
        <w:rPr>
          <w:rFonts w:ascii="Verdana" w:eastAsia="Calibri" w:hAnsi="Verdana" w:cs="Arial"/>
          <w:b/>
          <w:szCs w:val="24"/>
          <w:lang w:val="es-MX" w:eastAsia="en-US"/>
        </w:rPr>
        <w:t>Q2</w:t>
      </w:r>
      <w:r w:rsidR="006E5799">
        <w:rPr>
          <w:rFonts w:ascii="Verdana" w:eastAsia="Calibri" w:hAnsi="Verdana" w:cs="Arial"/>
          <w:b/>
          <w:szCs w:val="24"/>
          <w:lang w:val="es-MX" w:eastAsia="en-US"/>
        </w:rPr>
        <w:t>27,428,889.00</w:t>
      </w:r>
      <w:r w:rsidR="00CE5DB2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C84850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cual al cierre de </w:t>
      </w:r>
      <w:r w:rsidR="00840834">
        <w:rPr>
          <w:rFonts w:ascii="Verdana" w:eastAsia="Calibri" w:hAnsi="Verdana" w:cs="Arial"/>
          <w:szCs w:val="24"/>
          <w:lang w:val="es-MX" w:eastAsia="en-US"/>
        </w:rPr>
        <w:t>marzo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se reportó una ejecución</w:t>
      </w:r>
      <w:r w:rsidR="002C167F">
        <w:rPr>
          <w:rFonts w:ascii="Verdana" w:eastAsia="Calibri" w:hAnsi="Verdana" w:cs="Arial"/>
          <w:szCs w:val="24"/>
          <w:lang w:val="es-MX" w:eastAsia="en-US"/>
        </w:rPr>
        <w:t xml:space="preserve"> acumulada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gastos</w:t>
      </w:r>
      <w:r w:rsidR="00192610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FD1382">
        <w:rPr>
          <w:rFonts w:ascii="Verdana" w:eastAsia="Calibri" w:hAnsi="Verdana" w:cs="Arial"/>
          <w:szCs w:val="24"/>
          <w:lang w:val="es-MX" w:eastAsia="en-US"/>
        </w:rPr>
        <w:t xml:space="preserve"> e inversión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840834" w:rsidRPr="00A6502B">
        <w:rPr>
          <w:rFonts w:ascii="Verdana" w:eastAsia="Calibri" w:hAnsi="Verdana" w:cs="Arial"/>
          <w:b/>
          <w:szCs w:val="24"/>
          <w:lang w:val="es-MX" w:eastAsia="en-US"/>
        </w:rPr>
        <w:t xml:space="preserve">Q34,511,667.10 </w:t>
      </w:r>
      <w:r w:rsidR="00682980">
        <w:rPr>
          <w:rFonts w:ascii="Verdana" w:eastAsia="Calibri" w:hAnsi="Verdana" w:cs="Arial"/>
          <w:szCs w:val="24"/>
          <w:lang w:val="es-MX" w:eastAsia="en-US"/>
        </w:rPr>
        <w:t>millones, equivalente al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E048C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6E5799">
        <w:rPr>
          <w:rFonts w:ascii="Verdana" w:eastAsia="Calibri" w:hAnsi="Verdana" w:cs="Arial"/>
          <w:b/>
          <w:szCs w:val="24"/>
          <w:lang w:val="es-MX" w:eastAsia="en-US"/>
        </w:rPr>
        <w:t>5.17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%. </w:t>
      </w:r>
    </w:p>
    <w:p w14:paraId="6E367D64" w14:textId="4633345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56F95B1F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0635C518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6D2B79BF" w14:textId="49BA2D70" w:rsidR="00CE5DB2" w:rsidRDefault="00CE5DB2" w:rsidP="003C58C1">
      <w:pPr>
        <w:jc w:val="center"/>
        <w:rPr>
          <w:rFonts w:ascii="Verdana" w:hAnsi="Verdana" w:cs="Arial"/>
          <w:b/>
          <w:noProof/>
          <w:lang w:eastAsia="es-GT"/>
        </w:rPr>
      </w:pPr>
    </w:p>
    <w:p w14:paraId="4973E7D5" w14:textId="77777777" w:rsidR="006E5799" w:rsidRDefault="006E5799" w:rsidP="006E5799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6F93F49F" wp14:editId="419714FF">
            <wp:extent cx="3884930" cy="2381250"/>
            <wp:effectExtent l="0" t="0" r="1270" b="0"/>
            <wp:docPr id="4994778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91" cy="239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04636" w14:textId="66C25CED" w:rsidR="00FD1382" w:rsidRPr="000931D3" w:rsidRDefault="00FD1382" w:rsidP="006E5799">
      <w:pPr>
        <w:jc w:val="center"/>
        <w:rPr>
          <w:rFonts w:ascii="Verdana" w:hAnsi="Verdana" w:cs="Arial"/>
          <w:b/>
          <w:noProof/>
          <w:sz w:val="16"/>
          <w:szCs w:val="16"/>
          <w:lang w:eastAsia="es-GT"/>
        </w:rPr>
      </w:pP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Fuente: Sistema de Contabilidad Integrada (</w:t>
      </w:r>
      <w:proofErr w:type="spellStart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09:12</w:t>
      </w:r>
    </w:p>
    <w:p w14:paraId="08ABB4A2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12097ABE" w14:textId="50F6A095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2</w:t>
      </w:r>
    </w:p>
    <w:p w14:paraId="1DB58AE5" w14:textId="5D27EF9B" w:rsidR="0029077D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CDB6DDA" w14:textId="77777777" w:rsidR="006324F5" w:rsidRDefault="006C28B9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57FD0698" w14:textId="3A675DEE" w:rsidR="006324F5" w:rsidRDefault="006324F5" w:rsidP="006C28B9">
      <w:pPr>
        <w:jc w:val="center"/>
        <w:rPr>
          <w:rFonts w:ascii="Verdana" w:hAnsi="Verdana" w:cs="Arial"/>
          <w:b/>
          <w:lang w:val="es-MX"/>
        </w:rPr>
      </w:pPr>
    </w:p>
    <w:p w14:paraId="6CC81650" w14:textId="2D362153" w:rsidR="000931D3" w:rsidRDefault="006E5799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inline distT="0" distB="0" distL="0" distR="0" wp14:anchorId="3E914417" wp14:editId="3CCCB093">
            <wp:extent cx="6267450" cy="2981933"/>
            <wp:effectExtent l="0" t="0" r="0" b="9525"/>
            <wp:docPr id="9985135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27" cy="300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27256" w14:textId="6EC67AA4" w:rsidR="006C28B9" w:rsidRDefault="006C28B9" w:rsidP="00A51C2E">
      <w:pPr>
        <w:rPr>
          <w:rFonts w:ascii="Verdana" w:hAnsi="Verdana" w:cs="Arial"/>
          <w:b/>
          <w:sz w:val="14"/>
          <w:lang w:val="es-MX"/>
        </w:rPr>
      </w:pPr>
    </w:p>
    <w:p w14:paraId="104A3C01" w14:textId="568404A7" w:rsidR="00FD1382" w:rsidRPr="006E5799" w:rsidRDefault="00FD1382" w:rsidP="00FD1382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6E5799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6E579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6E579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6E579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09:12</w:t>
      </w:r>
    </w:p>
    <w:p w14:paraId="08F30045" w14:textId="2DF2B9CC" w:rsidR="00884387" w:rsidRPr="0010018F" w:rsidRDefault="00884387" w:rsidP="006324F5">
      <w:pPr>
        <w:rPr>
          <w:rFonts w:ascii="Verdana" w:hAnsi="Verdana" w:cs="Arial"/>
          <w:lang w:val="es-MX"/>
        </w:rPr>
      </w:pPr>
    </w:p>
    <w:p w14:paraId="79AF2DF9" w14:textId="194F3325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652A73D" w14:textId="3193B240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7ECF702F" w14:textId="44BB144F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pago</w:t>
      </w:r>
      <w:r w:rsidR="006324F5">
        <w:rPr>
          <w:rFonts w:ascii="Verdana" w:hAnsi="Verdana" w:cs="Arial"/>
          <w:lang w:val="es-MX"/>
        </w:rPr>
        <w:t>s de nómina servicios y transferencias corrientes.</w:t>
      </w:r>
    </w:p>
    <w:p w14:paraId="52D8F649" w14:textId="77777777" w:rsidR="000931D3" w:rsidRDefault="000931D3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D05D65D" w14:textId="77777777" w:rsidR="000931D3" w:rsidRDefault="000931D3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4A9BBF1A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7F292CCC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4DF39306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2F31F267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20D55684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3CE22356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23D09BD2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5137A733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703DCCD1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02677A84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156BB2ED" w14:textId="77777777" w:rsidR="006E5799" w:rsidRDefault="006E5799" w:rsidP="003C58C1">
      <w:pPr>
        <w:jc w:val="center"/>
        <w:rPr>
          <w:rFonts w:ascii="Verdana" w:hAnsi="Verdana" w:cs="Arial"/>
          <w:b/>
          <w:lang w:val="es-MX"/>
        </w:rPr>
      </w:pPr>
    </w:p>
    <w:p w14:paraId="3249555D" w14:textId="4775186E" w:rsidR="003C58C1" w:rsidRPr="0010018F" w:rsidRDefault="003C58C1" w:rsidP="00170128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1C727375" w:rsidR="003C58C1" w:rsidRDefault="00880247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 w:rsidR="005C6CD0">
        <w:rPr>
          <w:rFonts w:ascii="Verdana" w:hAnsi="Verdana" w:cs="Arial"/>
          <w:b/>
          <w:lang w:val="es-MX"/>
        </w:rPr>
        <w:t xml:space="preserve">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05B2E00E" w14:textId="3AE552E7" w:rsidR="00225485" w:rsidRPr="0010018F" w:rsidRDefault="001C454E" w:rsidP="00170128">
      <w:pPr>
        <w:rPr>
          <w:rFonts w:ascii="Verdana" w:hAnsi="Verdana" w:cs="Arial"/>
          <w:b/>
          <w:lang w:val="es-MX"/>
        </w:rPr>
      </w:pPr>
      <w:r w:rsidRPr="001C454E">
        <w:drawing>
          <wp:inline distT="0" distB="0" distL="0" distR="0" wp14:anchorId="57FFAD91" wp14:editId="39E2EE74">
            <wp:extent cx="6210300" cy="6762750"/>
            <wp:effectExtent l="19050" t="19050" r="19050" b="19050"/>
            <wp:docPr id="19385632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593" cy="67652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3FE95E" w14:textId="77777777" w:rsidR="006E5799" w:rsidRPr="006E5799" w:rsidRDefault="006E5799" w:rsidP="006E5799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6E5799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6E579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6E579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6E579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09:12</w:t>
      </w:r>
    </w:p>
    <w:p w14:paraId="5ECD5BE3" w14:textId="77777777" w:rsidR="006E5799" w:rsidRDefault="006E5799" w:rsidP="00EC5230">
      <w:pPr>
        <w:jc w:val="center"/>
        <w:rPr>
          <w:rFonts w:ascii="Verdana" w:hAnsi="Verdana" w:cs="Arial"/>
          <w:b/>
          <w:lang w:val="es-MX"/>
        </w:rPr>
      </w:pPr>
    </w:p>
    <w:p w14:paraId="64754D5B" w14:textId="03257886" w:rsidR="006E5799" w:rsidRDefault="006E5799" w:rsidP="006E5799">
      <w:pPr>
        <w:jc w:val="both"/>
        <w:rPr>
          <w:rFonts w:ascii="Verdana" w:hAnsi="Verdana" w:cs="Arial"/>
          <w:lang w:val="es-MX"/>
        </w:rPr>
      </w:pPr>
      <w:r w:rsidRPr="00BC5E60">
        <w:rPr>
          <w:rFonts w:ascii="Verdana" w:hAnsi="Verdana" w:cs="Arial"/>
          <w:lang w:val="es-MX"/>
        </w:rPr>
        <w:t>El cuadro dos detalla el comportamiento de las cuotas financieras</w:t>
      </w:r>
      <w:r>
        <w:rPr>
          <w:rFonts w:ascii="Verdana" w:hAnsi="Verdana" w:cs="Arial"/>
          <w:lang w:val="es-MX"/>
        </w:rPr>
        <w:t xml:space="preserve"> acumuladas</w:t>
      </w:r>
      <w:r w:rsidRPr="00BC5E60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</w:t>
      </w:r>
    </w:p>
    <w:p w14:paraId="7E8366A2" w14:textId="77777777" w:rsidR="006E5799" w:rsidRDefault="006E5799" w:rsidP="006E5799">
      <w:pPr>
        <w:jc w:val="both"/>
        <w:rPr>
          <w:rFonts w:ascii="Verdana" w:hAnsi="Verdana" w:cs="Arial"/>
          <w:lang w:val="es-MX"/>
        </w:rPr>
      </w:pPr>
    </w:p>
    <w:p w14:paraId="6F8903D5" w14:textId="77777777" w:rsidR="006E5799" w:rsidRDefault="006E5799" w:rsidP="006E5799">
      <w:pPr>
        <w:jc w:val="both"/>
        <w:rPr>
          <w:rFonts w:ascii="Verdana" w:hAnsi="Verdana" w:cs="Arial"/>
          <w:b/>
          <w:lang w:val="es-MX"/>
        </w:rPr>
      </w:pPr>
    </w:p>
    <w:p w14:paraId="239BC046" w14:textId="074B07C2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2</w:t>
      </w:r>
    </w:p>
    <w:p w14:paraId="1B09E94D" w14:textId="7AD3BB1E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449DF5BD" w:rsidR="005E467A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Informe de Ejecución de Cuota Financiera</w:t>
      </w:r>
    </w:p>
    <w:p w14:paraId="7AE93357" w14:textId="5BFD2C49" w:rsidR="00FA512D" w:rsidRDefault="00FA512D" w:rsidP="00EC5230">
      <w:pPr>
        <w:jc w:val="center"/>
        <w:rPr>
          <w:rFonts w:ascii="Verdana" w:hAnsi="Verdana" w:cs="Arial"/>
          <w:b/>
          <w:lang w:val="es-MX"/>
        </w:rPr>
      </w:pPr>
    </w:p>
    <w:p w14:paraId="3F0292FB" w14:textId="0A8E22AB" w:rsidR="00FA512D" w:rsidRDefault="00FA512D" w:rsidP="00EC5230">
      <w:pPr>
        <w:jc w:val="center"/>
        <w:rPr>
          <w:rFonts w:ascii="Verdana" w:hAnsi="Verdana" w:cs="Arial"/>
          <w:b/>
          <w:lang w:val="es-MX"/>
        </w:rPr>
      </w:pPr>
      <w:r w:rsidRPr="00FA512D">
        <w:rPr>
          <w:noProof/>
          <w:lang w:eastAsia="es-GT"/>
        </w:rPr>
        <w:drawing>
          <wp:inline distT="0" distB="0" distL="0" distR="0" wp14:anchorId="09D49E3D" wp14:editId="40131168">
            <wp:extent cx="6247280" cy="305752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14" cy="308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D893" w14:textId="724852AC" w:rsidR="00FD1382" w:rsidRPr="00A6502B" w:rsidRDefault="00FD1382" w:rsidP="00A6502B">
      <w:pPr>
        <w:jc w:val="both"/>
        <w:rPr>
          <w:rFonts w:ascii="Verdana" w:hAnsi="Verdana" w:cs="Arial"/>
          <w:b/>
          <w:lang w:val="es-MX"/>
        </w:rPr>
      </w:pPr>
      <w:r w:rsidRPr="00FD1382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09:12</w:t>
      </w:r>
    </w:p>
    <w:p w14:paraId="475C2B9C" w14:textId="751C4518" w:rsidR="00935ECE" w:rsidRDefault="00935ECE" w:rsidP="00935ECE">
      <w:pPr>
        <w:rPr>
          <w:rFonts w:ascii="Verdana" w:hAnsi="Verdana" w:cs="Arial"/>
          <w:color w:val="000000" w:themeColor="text1"/>
          <w:sz w:val="16"/>
        </w:rPr>
      </w:pPr>
    </w:p>
    <w:p w14:paraId="5893A19A" w14:textId="77777777" w:rsidR="000931D3" w:rsidRPr="002204FB" w:rsidRDefault="000931D3" w:rsidP="00935ECE">
      <w:pPr>
        <w:rPr>
          <w:rFonts w:ascii="Verdana" w:hAnsi="Verdana" w:cs="Arial"/>
          <w:color w:val="000000" w:themeColor="text1"/>
          <w:sz w:val="16"/>
        </w:rPr>
      </w:pPr>
    </w:p>
    <w:p w14:paraId="3601D59E" w14:textId="77777777" w:rsidR="00935ECE" w:rsidRPr="00D806CC" w:rsidRDefault="00935ECE" w:rsidP="00935ECE">
      <w:pPr>
        <w:rPr>
          <w:rFonts w:ascii="Verdana" w:hAnsi="Verdana" w:cs="Arial"/>
          <w:sz w:val="16"/>
        </w:rPr>
      </w:pPr>
    </w:p>
    <w:p w14:paraId="53590958" w14:textId="0F407E70" w:rsidR="003C58C1" w:rsidRPr="006E5799" w:rsidRDefault="003C58C1" w:rsidP="00A51C2E">
      <w:pPr>
        <w:rPr>
          <w:rFonts w:ascii="Verdana" w:hAnsi="Verdana" w:cs="Arial"/>
          <w:b/>
        </w:rPr>
      </w:pPr>
    </w:p>
    <w:p w14:paraId="7B578654" w14:textId="51E298BA" w:rsidR="003C58C1" w:rsidRPr="0010018F" w:rsidRDefault="003C58C1" w:rsidP="003C58C1">
      <w:pPr>
        <w:rPr>
          <w:rFonts w:ascii="Verdana" w:hAnsi="Verdana"/>
        </w:rPr>
      </w:pPr>
    </w:p>
    <w:p w14:paraId="0CA7C413" w14:textId="77777777" w:rsidR="00EB2464" w:rsidRPr="0010018F" w:rsidRDefault="00EB2464" w:rsidP="1A98FAC5">
      <w:pPr>
        <w:rPr>
          <w:rFonts w:ascii="Verdana" w:hAnsi="Verdana" w:cs="Times New Roman"/>
        </w:rPr>
      </w:pPr>
    </w:p>
    <w:sectPr w:rsidR="00EB2464" w:rsidRPr="0010018F" w:rsidSect="00423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E7BD" w14:textId="77777777" w:rsidR="00770D7B" w:rsidRDefault="00770D7B" w:rsidP="00950217">
      <w:r>
        <w:separator/>
      </w:r>
    </w:p>
  </w:endnote>
  <w:endnote w:type="continuationSeparator" w:id="0">
    <w:p w14:paraId="39A43B0B" w14:textId="77777777" w:rsidR="00770D7B" w:rsidRDefault="00770D7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A968" w14:textId="77777777" w:rsidR="00770D7B" w:rsidRDefault="00770D7B" w:rsidP="00950217">
      <w:r>
        <w:separator/>
      </w:r>
    </w:p>
  </w:footnote>
  <w:footnote w:type="continuationSeparator" w:id="0">
    <w:p w14:paraId="4D5AE282" w14:textId="77777777" w:rsidR="00770D7B" w:rsidRDefault="00770D7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GT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GT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67FD4"/>
    <w:rsid w:val="000710D3"/>
    <w:rsid w:val="0008228E"/>
    <w:rsid w:val="00087890"/>
    <w:rsid w:val="000931D3"/>
    <w:rsid w:val="00095311"/>
    <w:rsid w:val="000A36F1"/>
    <w:rsid w:val="000D76D9"/>
    <w:rsid w:val="000F3C7C"/>
    <w:rsid w:val="0010018F"/>
    <w:rsid w:val="00132BE5"/>
    <w:rsid w:val="00170128"/>
    <w:rsid w:val="00171D36"/>
    <w:rsid w:val="00172F0D"/>
    <w:rsid w:val="00183A5B"/>
    <w:rsid w:val="00192610"/>
    <w:rsid w:val="001B277B"/>
    <w:rsid w:val="001C454E"/>
    <w:rsid w:val="001C5C06"/>
    <w:rsid w:val="002234DC"/>
    <w:rsid w:val="00225485"/>
    <w:rsid w:val="00232AE0"/>
    <w:rsid w:val="00233659"/>
    <w:rsid w:val="0023402E"/>
    <w:rsid w:val="00241FB3"/>
    <w:rsid w:val="002669D7"/>
    <w:rsid w:val="00271E2A"/>
    <w:rsid w:val="00283696"/>
    <w:rsid w:val="00283BA1"/>
    <w:rsid w:val="0029077D"/>
    <w:rsid w:val="002C167F"/>
    <w:rsid w:val="002C2478"/>
    <w:rsid w:val="002C7F50"/>
    <w:rsid w:val="002D5CD2"/>
    <w:rsid w:val="003076C0"/>
    <w:rsid w:val="00323D37"/>
    <w:rsid w:val="00330FD9"/>
    <w:rsid w:val="00355238"/>
    <w:rsid w:val="00367079"/>
    <w:rsid w:val="00377D36"/>
    <w:rsid w:val="003B0020"/>
    <w:rsid w:val="003C58C1"/>
    <w:rsid w:val="003D10AA"/>
    <w:rsid w:val="003E373F"/>
    <w:rsid w:val="0042301A"/>
    <w:rsid w:val="0042413E"/>
    <w:rsid w:val="00451D63"/>
    <w:rsid w:val="004601D8"/>
    <w:rsid w:val="00475580"/>
    <w:rsid w:val="004D6840"/>
    <w:rsid w:val="00507D19"/>
    <w:rsid w:val="005423E5"/>
    <w:rsid w:val="005755DA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324F5"/>
    <w:rsid w:val="0063380F"/>
    <w:rsid w:val="00682980"/>
    <w:rsid w:val="006B4BBF"/>
    <w:rsid w:val="006B6611"/>
    <w:rsid w:val="006C28B9"/>
    <w:rsid w:val="006C630D"/>
    <w:rsid w:val="006E1C78"/>
    <w:rsid w:val="006E32FB"/>
    <w:rsid w:val="006E5799"/>
    <w:rsid w:val="00733A93"/>
    <w:rsid w:val="0074326E"/>
    <w:rsid w:val="00770D7B"/>
    <w:rsid w:val="007761D5"/>
    <w:rsid w:val="007C3871"/>
    <w:rsid w:val="007E7728"/>
    <w:rsid w:val="007F0D20"/>
    <w:rsid w:val="008147DB"/>
    <w:rsid w:val="00826473"/>
    <w:rsid w:val="00835ABF"/>
    <w:rsid w:val="00840834"/>
    <w:rsid w:val="0084765B"/>
    <w:rsid w:val="00870270"/>
    <w:rsid w:val="008719D3"/>
    <w:rsid w:val="00880247"/>
    <w:rsid w:val="00884387"/>
    <w:rsid w:val="00891D77"/>
    <w:rsid w:val="008973EC"/>
    <w:rsid w:val="008B23D2"/>
    <w:rsid w:val="008E47E2"/>
    <w:rsid w:val="008F3EFC"/>
    <w:rsid w:val="009344C5"/>
    <w:rsid w:val="00935ECE"/>
    <w:rsid w:val="0094053F"/>
    <w:rsid w:val="009457A0"/>
    <w:rsid w:val="00950217"/>
    <w:rsid w:val="009604D8"/>
    <w:rsid w:val="0097181F"/>
    <w:rsid w:val="009A4973"/>
    <w:rsid w:val="009B2559"/>
    <w:rsid w:val="009B7CF9"/>
    <w:rsid w:val="009F48B3"/>
    <w:rsid w:val="00A05E3C"/>
    <w:rsid w:val="00A07044"/>
    <w:rsid w:val="00A0775C"/>
    <w:rsid w:val="00A1525C"/>
    <w:rsid w:val="00A278F5"/>
    <w:rsid w:val="00A445F8"/>
    <w:rsid w:val="00A51C2E"/>
    <w:rsid w:val="00A6502B"/>
    <w:rsid w:val="00A76169"/>
    <w:rsid w:val="00A96E21"/>
    <w:rsid w:val="00AE1BA2"/>
    <w:rsid w:val="00AE291C"/>
    <w:rsid w:val="00AE788E"/>
    <w:rsid w:val="00B54CA2"/>
    <w:rsid w:val="00B64464"/>
    <w:rsid w:val="00B65E65"/>
    <w:rsid w:val="00B71889"/>
    <w:rsid w:val="00B87A3E"/>
    <w:rsid w:val="00B97FD3"/>
    <w:rsid w:val="00BA014C"/>
    <w:rsid w:val="00BA1CBE"/>
    <w:rsid w:val="00BB35A3"/>
    <w:rsid w:val="00BD216F"/>
    <w:rsid w:val="00BE202A"/>
    <w:rsid w:val="00BE4C5C"/>
    <w:rsid w:val="00BE691F"/>
    <w:rsid w:val="00BE6DE5"/>
    <w:rsid w:val="00C00EE7"/>
    <w:rsid w:val="00C07E0B"/>
    <w:rsid w:val="00C07E36"/>
    <w:rsid w:val="00C141C8"/>
    <w:rsid w:val="00C15CA9"/>
    <w:rsid w:val="00C400E1"/>
    <w:rsid w:val="00C414FA"/>
    <w:rsid w:val="00C42C5A"/>
    <w:rsid w:val="00C52434"/>
    <w:rsid w:val="00C63679"/>
    <w:rsid w:val="00C71B00"/>
    <w:rsid w:val="00C77100"/>
    <w:rsid w:val="00C84850"/>
    <w:rsid w:val="00CA246F"/>
    <w:rsid w:val="00CB079E"/>
    <w:rsid w:val="00CD04A9"/>
    <w:rsid w:val="00CE5DB2"/>
    <w:rsid w:val="00CF72F1"/>
    <w:rsid w:val="00D020F9"/>
    <w:rsid w:val="00D0390A"/>
    <w:rsid w:val="00D20B54"/>
    <w:rsid w:val="00D210B2"/>
    <w:rsid w:val="00D55C6F"/>
    <w:rsid w:val="00D919C7"/>
    <w:rsid w:val="00DA4990"/>
    <w:rsid w:val="00DC1BED"/>
    <w:rsid w:val="00DC38C1"/>
    <w:rsid w:val="00DC7FC9"/>
    <w:rsid w:val="00DD69AC"/>
    <w:rsid w:val="00DE048C"/>
    <w:rsid w:val="00E05420"/>
    <w:rsid w:val="00E20A1F"/>
    <w:rsid w:val="00E301A8"/>
    <w:rsid w:val="00E377DA"/>
    <w:rsid w:val="00E44F25"/>
    <w:rsid w:val="00E51136"/>
    <w:rsid w:val="00E52979"/>
    <w:rsid w:val="00E6135C"/>
    <w:rsid w:val="00E917BC"/>
    <w:rsid w:val="00EB2464"/>
    <w:rsid w:val="00EB343C"/>
    <w:rsid w:val="00EB4305"/>
    <w:rsid w:val="00EC5230"/>
    <w:rsid w:val="00EC71E1"/>
    <w:rsid w:val="00ED152A"/>
    <w:rsid w:val="00ED2FA1"/>
    <w:rsid w:val="00F021DD"/>
    <w:rsid w:val="00F56B68"/>
    <w:rsid w:val="00F7289A"/>
    <w:rsid w:val="00F82360"/>
    <w:rsid w:val="00F83C31"/>
    <w:rsid w:val="00FA512D"/>
    <w:rsid w:val="00FD0B92"/>
    <w:rsid w:val="00FD1382"/>
    <w:rsid w:val="00FD60B2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C806DBC4-0CBA-48A8-8213-8D28F168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Hernández Porras</cp:lastModifiedBy>
  <cp:revision>8</cp:revision>
  <cp:lastPrinted>2025-01-21T20:44:00Z</cp:lastPrinted>
  <dcterms:created xsi:type="dcterms:W3CDTF">2025-04-03T15:42:00Z</dcterms:created>
  <dcterms:modified xsi:type="dcterms:W3CDTF">2025-04-07T05:06:00Z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