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04C6" w14:textId="2E4DB488" w:rsidR="00DD720C" w:rsidRDefault="00DD720C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74C4F24C" w14:textId="77777777" w:rsidR="002114A1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328AB2F7" w14:textId="77777777" w:rsidR="002114A1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45E4D7A2" w14:textId="77777777" w:rsidR="002114A1" w:rsidRPr="00732114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482DE8F1" w14:textId="76A6C854" w:rsidR="00AB38F5" w:rsidRPr="00732114" w:rsidRDefault="00AB38F5" w:rsidP="00E66286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Info</w:t>
      </w:r>
      <w:r w:rsidR="001352BF">
        <w:rPr>
          <w:rFonts w:ascii="Verdana" w:hAnsi="Verdana" w:cs="Arial"/>
          <w:b/>
          <w:color w:val="002060"/>
          <w:sz w:val="48"/>
        </w:rPr>
        <w:t>rme de Ejecución Presupuestaria</w:t>
      </w:r>
    </w:p>
    <w:p w14:paraId="31542D2B" w14:textId="21ABEDFA" w:rsidR="00CB2A75" w:rsidRPr="00732114" w:rsidRDefault="00CB2A75" w:rsidP="00E66286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Viceministerio</w:t>
      </w:r>
      <w:r w:rsidR="00A11628" w:rsidRPr="00732114">
        <w:rPr>
          <w:rFonts w:ascii="Verdana" w:hAnsi="Verdana" w:cs="Arial"/>
          <w:b/>
          <w:color w:val="002060"/>
          <w:sz w:val="48"/>
        </w:rPr>
        <w:t xml:space="preserve"> de</w:t>
      </w:r>
    </w:p>
    <w:p w14:paraId="56C8251D" w14:textId="77777777" w:rsidR="00E66286" w:rsidRDefault="00AB38F5" w:rsidP="00E66286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Inversión y Competencia</w:t>
      </w:r>
    </w:p>
    <w:p w14:paraId="6A022411" w14:textId="240A524E" w:rsidR="00AB38F5" w:rsidRPr="00732114" w:rsidRDefault="00924613" w:rsidP="00924613">
      <w:pPr>
        <w:pStyle w:val="NormalWeb"/>
        <w:spacing w:before="0" w:beforeAutospacing="0" w:after="0" w:afterAutospacing="0"/>
        <w:ind w:left="2124" w:firstLine="708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Junio</w:t>
      </w:r>
      <w:r w:rsidR="00E66286">
        <w:rPr>
          <w:rFonts w:ascii="Verdana" w:hAnsi="Verdana" w:cs="Arial"/>
          <w:b/>
          <w:color w:val="002060"/>
          <w:sz w:val="48"/>
        </w:rPr>
        <w:t xml:space="preserve"> 2025</w:t>
      </w:r>
    </w:p>
    <w:p w14:paraId="6F2E8374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675ECD4" w14:textId="689D7365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B60D61C" w14:textId="4D02EA01" w:rsidR="009B035D" w:rsidRPr="00732114" w:rsidRDefault="009B035D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3D80FB2" w14:textId="77777777" w:rsidR="009B035D" w:rsidRPr="00732114" w:rsidRDefault="009B035D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2CAC618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81E880C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FED87AA" w14:textId="77777777" w:rsidR="00235A0B" w:rsidRDefault="00235A0B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32B680DC" w14:textId="77777777" w:rsidR="00235A0B" w:rsidRPr="00732114" w:rsidRDefault="00235A0B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5F1244B2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3846865C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Dirección Financiera</w:t>
      </w:r>
    </w:p>
    <w:p w14:paraId="049D36BE" w14:textId="77777777" w:rsidR="00AB38F5" w:rsidRPr="00732114" w:rsidRDefault="00AB38F5" w:rsidP="00AB38F5">
      <w:pPr>
        <w:jc w:val="center"/>
        <w:rPr>
          <w:rFonts w:ascii="Verdana" w:hAnsi="Verdana" w:cs="Arial"/>
          <w:b/>
          <w:sz w:val="48"/>
        </w:rPr>
      </w:pPr>
    </w:p>
    <w:p w14:paraId="3672AAFC" w14:textId="77777777" w:rsidR="002114A1" w:rsidRDefault="002114A1" w:rsidP="00AB38F5">
      <w:pPr>
        <w:jc w:val="center"/>
        <w:rPr>
          <w:rFonts w:ascii="Verdana" w:hAnsi="Verdana" w:cs="Arial"/>
          <w:b/>
          <w:lang w:val="es-MX"/>
        </w:rPr>
      </w:pPr>
    </w:p>
    <w:p w14:paraId="1348E8BF" w14:textId="77777777" w:rsidR="002114A1" w:rsidRDefault="002114A1" w:rsidP="00AB38F5">
      <w:pPr>
        <w:jc w:val="center"/>
        <w:rPr>
          <w:rFonts w:ascii="Verdana" w:hAnsi="Verdana" w:cs="Arial"/>
          <w:b/>
          <w:lang w:val="es-MX"/>
        </w:rPr>
      </w:pPr>
    </w:p>
    <w:p w14:paraId="5A53B11C" w14:textId="24D4A928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57BE661F" w14:textId="3EA1D65F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DEL VICEMINISTERIO DE INVERSIÓN Y COMPETENCIA</w:t>
      </w:r>
    </w:p>
    <w:p w14:paraId="3E60A321" w14:textId="19E36F40" w:rsidR="00AB38F5" w:rsidRPr="00732114" w:rsidRDefault="00924613" w:rsidP="00687CE4">
      <w:pPr>
        <w:ind w:left="708" w:hanging="708"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JUNIO</w:t>
      </w:r>
      <w:r w:rsidR="002F6AD0">
        <w:rPr>
          <w:rFonts w:ascii="Verdana" w:hAnsi="Verdana" w:cs="Arial"/>
          <w:b/>
          <w:lang w:val="es-MX"/>
        </w:rPr>
        <w:t xml:space="preserve"> </w:t>
      </w:r>
      <w:r w:rsidR="008075F3">
        <w:rPr>
          <w:rFonts w:ascii="Verdana" w:hAnsi="Verdana" w:cs="Arial"/>
          <w:b/>
          <w:lang w:val="es-MX"/>
        </w:rPr>
        <w:t>2025</w:t>
      </w:r>
    </w:p>
    <w:p w14:paraId="1C5F0A19" w14:textId="70BE7104" w:rsidR="00AB38F5" w:rsidRPr="00732114" w:rsidRDefault="00AB38F5" w:rsidP="00AB38F5">
      <w:pPr>
        <w:rPr>
          <w:rFonts w:ascii="Verdana" w:hAnsi="Verdana" w:cs="Arial"/>
          <w:b/>
          <w:lang w:val="es-MX"/>
        </w:rPr>
      </w:pPr>
    </w:p>
    <w:p w14:paraId="05132426" w14:textId="525708F7" w:rsidR="00AB38F5" w:rsidRPr="00732114" w:rsidRDefault="00322962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El Viceministerio a través de sus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dependencia</w:t>
      </w:r>
      <w:r>
        <w:rPr>
          <w:rFonts w:ascii="Verdana" w:eastAsia="Calibri" w:hAnsi="Verdana" w:cs="Arial"/>
          <w:szCs w:val="24"/>
          <w:lang w:val="es-MX" w:eastAsia="en-US"/>
        </w:rPr>
        <w:t>s,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se encarga </w:t>
      </w:r>
      <w:r w:rsidR="00AE7BBF">
        <w:rPr>
          <w:rFonts w:ascii="Verdana" w:eastAsia="Calibri" w:hAnsi="Verdana" w:cs="Arial"/>
          <w:szCs w:val="24"/>
          <w:lang w:val="es-MX" w:eastAsia="en-US"/>
        </w:rPr>
        <w:t>de</w:t>
      </w:r>
      <w:r w:rsidR="005537AE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la </w:t>
      </w:r>
      <w:r w:rsidR="005537AE">
        <w:rPr>
          <w:rFonts w:ascii="Verdana" w:eastAsia="Calibri" w:hAnsi="Verdana" w:cs="Arial"/>
          <w:szCs w:val="24"/>
          <w:lang w:val="es-MX" w:eastAsia="en-US"/>
        </w:rPr>
        <w:t>coordinación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 y gestión administrativa</w:t>
      </w:r>
      <w:r w:rsidR="005537AE">
        <w:rPr>
          <w:rFonts w:ascii="Verdana" w:eastAsia="Calibri" w:hAnsi="Verdana" w:cs="Arial"/>
          <w:szCs w:val="24"/>
          <w:lang w:val="es-MX" w:eastAsia="en-US"/>
        </w:rPr>
        <w:t xml:space="preserve"> de los programas de inversión y competencia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230B4A">
        <w:rPr>
          <w:rFonts w:ascii="Verdana" w:eastAsia="Calibri" w:hAnsi="Verdana" w:cs="Arial"/>
          <w:szCs w:val="24"/>
          <w:lang w:val="es-MX" w:eastAsia="en-US"/>
        </w:rPr>
        <w:t>en materia asistencia al consumidor, reglamentación congruente con tratados y acuerdos comerciales, incentivos de inversión</w:t>
      </w:r>
      <w:r w:rsidR="00AE7BBF">
        <w:rPr>
          <w:rFonts w:ascii="Verdana" w:eastAsia="Calibri" w:hAnsi="Verdana" w:cs="Arial"/>
          <w:szCs w:val="24"/>
          <w:lang w:val="es-MX" w:eastAsia="en-US"/>
        </w:rPr>
        <w:t>, facilitar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información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 de acceso a los mercados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a </w:t>
      </w:r>
      <w:r w:rsidR="00AE7BBF">
        <w:rPr>
          <w:rFonts w:ascii="Verdana" w:eastAsia="Calibri" w:hAnsi="Verdana" w:cs="Arial"/>
          <w:szCs w:val="24"/>
          <w:lang w:val="es-MX" w:eastAsia="en-US"/>
        </w:rPr>
        <w:t>los exportadores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, promover la competencia nacional, </w:t>
      </w:r>
      <w:r w:rsidR="00AE7BBF">
        <w:rPr>
          <w:rFonts w:ascii="Verdana" w:eastAsia="Calibri" w:hAnsi="Verdana" w:cs="Arial"/>
          <w:szCs w:val="24"/>
          <w:lang w:val="es-MX" w:eastAsia="en-US"/>
        </w:rPr>
        <w:t>y otras acciones dentro de su jurisdicción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.</w:t>
      </w:r>
    </w:p>
    <w:p w14:paraId="4A5E68B9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2E44D69" w14:textId="2B5EF1FB" w:rsidR="00AB38F5" w:rsidRPr="00732114" w:rsidRDefault="00AE7BBF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Este organismo es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el encargado de ejecutar uno de los programas estratégicos de Gobierno</w:t>
      </w:r>
      <w:r w:rsidR="00B316E3">
        <w:rPr>
          <w:rFonts w:ascii="Verdana" w:eastAsia="Calibri" w:hAnsi="Verdana" w:cs="Arial"/>
          <w:szCs w:val="24"/>
          <w:lang w:val="es-MX" w:eastAsia="en-US"/>
        </w:rPr>
        <w:t xml:space="preserve">, el cual lleva por nombre </w:t>
      </w:r>
      <w:r>
        <w:rPr>
          <w:rFonts w:ascii="Verdana" w:eastAsia="Calibri" w:hAnsi="Verdana" w:cs="Arial"/>
          <w:szCs w:val="24"/>
          <w:lang w:val="es-MX" w:eastAsia="en-US"/>
        </w:rPr>
        <w:t>“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Apoyo al Incremento de la Competitividad</w:t>
      </w:r>
      <w:r>
        <w:rPr>
          <w:rFonts w:ascii="Verdana" w:eastAsia="Calibri" w:hAnsi="Verdana" w:cs="Arial"/>
          <w:szCs w:val="24"/>
          <w:lang w:val="es-MX" w:eastAsia="en-US"/>
        </w:rPr>
        <w:t>”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B316E3">
        <w:rPr>
          <w:rFonts w:ascii="Verdana" w:eastAsia="Calibri" w:hAnsi="Verdana" w:cs="Arial"/>
          <w:szCs w:val="24"/>
          <w:lang w:val="es-MX" w:eastAsia="en-US"/>
        </w:rPr>
        <w:t>que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busca aumentar la inscripción de títulos de propiedad intelectual y personas individuales y jurídicas que desarrollen actividades mercantiles.</w:t>
      </w:r>
    </w:p>
    <w:p w14:paraId="2B7A8492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E675DEF" w14:textId="4DB524FC" w:rsidR="00AB38F5" w:rsidRDefault="00CE3B77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Se asigna al Viceministerio </w:t>
      </w:r>
      <w:r w:rsidR="00B316E3">
        <w:rPr>
          <w:rFonts w:ascii="Verdana" w:eastAsia="Calibri" w:hAnsi="Verdana" w:cs="Arial"/>
          <w:szCs w:val="24"/>
          <w:lang w:val="es-MX" w:eastAsia="en-US"/>
        </w:rPr>
        <w:t xml:space="preserve">un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presupuesto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B316E3">
        <w:rPr>
          <w:rFonts w:ascii="Verdana" w:eastAsia="Calibri" w:hAnsi="Verdana" w:cs="Arial"/>
          <w:b/>
          <w:szCs w:val="24"/>
          <w:lang w:val="es-MX" w:eastAsia="en-US"/>
        </w:rPr>
        <w:t>Q90,</w:t>
      </w:r>
      <w:r w:rsidR="00924613">
        <w:rPr>
          <w:rFonts w:ascii="Verdana" w:eastAsia="Calibri" w:hAnsi="Verdana" w:cs="Arial"/>
          <w:b/>
          <w:szCs w:val="24"/>
          <w:lang w:val="es-MX" w:eastAsia="en-US"/>
        </w:rPr>
        <w:t>481,522</w:t>
      </w:r>
      <w:r w:rsidR="009310EF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AB38F5" w:rsidRPr="00732114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B316E3">
        <w:rPr>
          <w:rFonts w:ascii="Verdana" w:eastAsia="Calibri" w:hAnsi="Verdana" w:cs="Arial"/>
          <w:szCs w:val="24"/>
          <w:lang w:val="es-MX" w:eastAsia="en-US"/>
        </w:rPr>
        <w:t>el cual se modifica</w:t>
      </w:r>
      <w:r>
        <w:rPr>
          <w:rFonts w:ascii="Verdana" w:eastAsia="Calibri" w:hAnsi="Verdana" w:cs="Arial"/>
          <w:szCs w:val="24"/>
          <w:lang w:val="es-MX" w:eastAsia="en-US"/>
        </w:rPr>
        <w:t xml:space="preserve"> y disminuye en </w:t>
      </w:r>
      <w:r w:rsidR="00B316E3" w:rsidRPr="00F3241F">
        <w:rPr>
          <w:rFonts w:ascii="Verdana" w:eastAsia="Calibri" w:hAnsi="Verdana" w:cs="Arial"/>
          <w:b/>
          <w:szCs w:val="24"/>
          <w:lang w:val="es-MX" w:eastAsia="en-US"/>
        </w:rPr>
        <w:t>–</w:t>
      </w:r>
      <w:r w:rsidR="006B3B0D" w:rsidRPr="00F3241F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B316E3" w:rsidRPr="00F3241F">
        <w:rPr>
          <w:rFonts w:ascii="Verdana" w:eastAsia="Calibri" w:hAnsi="Verdana" w:cs="Arial"/>
          <w:b/>
          <w:szCs w:val="24"/>
          <w:lang w:val="es-MX" w:eastAsia="en-US"/>
        </w:rPr>
        <w:t>3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9310EF">
        <w:rPr>
          <w:rFonts w:ascii="Verdana" w:eastAsia="Calibri" w:hAnsi="Verdana" w:cs="Arial"/>
          <w:b/>
          <w:szCs w:val="24"/>
          <w:lang w:val="es-MX" w:eastAsia="en-US"/>
        </w:rPr>
        <w:t>39</w:t>
      </w:r>
      <w:r w:rsidR="00924613">
        <w:rPr>
          <w:rFonts w:ascii="Verdana" w:eastAsia="Calibri" w:hAnsi="Verdana" w:cs="Arial"/>
          <w:b/>
          <w:szCs w:val="24"/>
          <w:lang w:val="es-MX" w:eastAsia="en-US"/>
        </w:rPr>
        <w:t>5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924613">
        <w:rPr>
          <w:rFonts w:ascii="Verdana" w:eastAsia="Calibri" w:hAnsi="Verdana" w:cs="Arial"/>
          <w:b/>
          <w:szCs w:val="24"/>
          <w:lang w:val="es-MX" w:eastAsia="en-US"/>
        </w:rPr>
        <w:t>508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.00</w:t>
      </w:r>
      <w:r>
        <w:rPr>
          <w:rFonts w:ascii="Verdana" w:eastAsia="Calibri" w:hAnsi="Verdana" w:cs="Arial"/>
          <w:szCs w:val="24"/>
          <w:lang w:val="es-MX" w:eastAsia="en-US"/>
        </w:rPr>
        <w:t xml:space="preserve"> millones,</w:t>
      </w:r>
      <w:r w:rsidR="006B3B0D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quedando </w:t>
      </w:r>
      <w:r>
        <w:rPr>
          <w:rFonts w:ascii="Verdana" w:eastAsia="Calibri" w:hAnsi="Verdana" w:cs="Arial"/>
          <w:szCs w:val="24"/>
          <w:lang w:val="es-MX" w:eastAsia="en-US"/>
        </w:rPr>
        <w:t>un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presupuesto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 vigente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de </w:t>
      </w:r>
      <w:r w:rsidR="00FD7D6E" w:rsidRPr="00C8485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F3241F">
        <w:rPr>
          <w:rFonts w:ascii="Verdana" w:eastAsia="Calibri" w:hAnsi="Verdana" w:cs="Arial"/>
          <w:b/>
          <w:szCs w:val="24"/>
          <w:lang w:val="es-MX" w:eastAsia="en-US"/>
        </w:rPr>
        <w:t>8</w:t>
      </w:r>
      <w:r w:rsidR="006F11CD">
        <w:rPr>
          <w:rFonts w:ascii="Verdana" w:eastAsia="Calibri" w:hAnsi="Verdana" w:cs="Arial"/>
          <w:b/>
          <w:szCs w:val="24"/>
          <w:lang w:val="es-MX" w:eastAsia="en-US"/>
        </w:rPr>
        <w:t>7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6F11CD">
        <w:rPr>
          <w:rFonts w:ascii="Verdana" w:eastAsia="Calibri" w:hAnsi="Verdana" w:cs="Arial"/>
          <w:b/>
          <w:szCs w:val="24"/>
          <w:lang w:val="es-MX" w:eastAsia="en-US"/>
        </w:rPr>
        <w:t>0</w:t>
      </w:r>
      <w:r w:rsidR="009310EF">
        <w:rPr>
          <w:rFonts w:ascii="Verdana" w:eastAsia="Calibri" w:hAnsi="Verdana" w:cs="Arial"/>
          <w:b/>
          <w:szCs w:val="24"/>
          <w:lang w:val="es-MX" w:eastAsia="en-US"/>
        </w:rPr>
        <w:t>8</w:t>
      </w:r>
      <w:r w:rsidR="00924613">
        <w:rPr>
          <w:rFonts w:ascii="Verdana" w:eastAsia="Calibri" w:hAnsi="Verdana" w:cs="Arial"/>
          <w:b/>
          <w:szCs w:val="24"/>
          <w:lang w:val="es-MX" w:eastAsia="en-US"/>
        </w:rPr>
        <w:t>6</w:t>
      </w:r>
      <w:r w:rsidR="009310EF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924613">
        <w:rPr>
          <w:rFonts w:ascii="Verdana" w:eastAsia="Calibri" w:hAnsi="Verdana" w:cs="Arial"/>
          <w:b/>
          <w:szCs w:val="24"/>
          <w:lang w:val="es-MX" w:eastAsia="en-US"/>
        </w:rPr>
        <w:t>014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millones, </w:t>
      </w:r>
      <w:r w:rsidR="00F3241F">
        <w:rPr>
          <w:rFonts w:ascii="Verdana" w:eastAsia="Calibri" w:hAnsi="Verdana" w:cs="Arial"/>
          <w:szCs w:val="24"/>
          <w:lang w:val="es-MX" w:eastAsia="en-US"/>
        </w:rPr>
        <w:t>del que se ejecuta un acumulado de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924613">
        <w:rPr>
          <w:rFonts w:ascii="Verdana" w:eastAsia="Calibri" w:hAnsi="Verdana" w:cs="Arial"/>
          <w:b/>
          <w:szCs w:val="24"/>
          <w:lang w:val="es-MX" w:eastAsia="en-US"/>
        </w:rPr>
        <w:t>Q25,856,685.67</w:t>
      </w:r>
      <w:r w:rsidR="00F3241F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F3241F" w:rsidRPr="00F3241F">
        <w:rPr>
          <w:rFonts w:ascii="Verdana" w:eastAsia="Calibri" w:hAnsi="Verdana" w:cs="Arial"/>
          <w:szCs w:val="24"/>
          <w:lang w:val="es-MX" w:eastAsia="en-US"/>
        </w:rPr>
        <w:t>millones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, equivalente al </w:t>
      </w:r>
      <w:r w:rsidR="00924613">
        <w:rPr>
          <w:rFonts w:ascii="Verdana" w:eastAsia="Calibri" w:hAnsi="Verdana" w:cs="Arial"/>
          <w:b/>
          <w:szCs w:val="24"/>
          <w:lang w:val="es-MX" w:eastAsia="en-US"/>
        </w:rPr>
        <w:t>30</w:t>
      </w:r>
      <w:r w:rsidRPr="00E76CDB">
        <w:rPr>
          <w:rFonts w:ascii="Verdana" w:eastAsia="Calibri" w:hAnsi="Verdana" w:cs="Arial"/>
          <w:b/>
          <w:szCs w:val="24"/>
          <w:lang w:val="es-MX" w:eastAsia="en-US"/>
        </w:rPr>
        <w:t>%</w:t>
      </w:r>
      <w:r>
        <w:rPr>
          <w:rFonts w:ascii="Verdana" w:eastAsia="Calibri" w:hAnsi="Verdana" w:cs="Arial"/>
          <w:szCs w:val="24"/>
          <w:lang w:val="es-MX" w:eastAsia="en-US"/>
        </w:rPr>
        <w:t xml:space="preserve">, orientado a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gastos </w:t>
      </w:r>
      <w:r>
        <w:rPr>
          <w:rFonts w:ascii="Verdana" w:eastAsia="Calibri" w:hAnsi="Verdana" w:cs="Arial"/>
          <w:szCs w:val="24"/>
          <w:lang w:val="es-MX" w:eastAsia="en-US"/>
        </w:rPr>
        <w:t>funcionamiento.</w:t>
      </w:r>
    </w:p>
    <w:p w14:paraId="6F455EB4" w14:textId="534F1614" w:rsidR="002F6AD0" w:rsidRDefault="002F6AD0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4E8B5A56" w14:textId="471F1AAE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Gráfica No. 1</w:t>
      </w:r>
    </w:p>
    <w:p w14:paraId="0F4F60C7" w14:textId="59CA2B1B" w:rsidR="00C64308" w:rsidRPr="00732114" w:rsidRDefault="00C64308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53157E24" w14:textId="2B69F1B2" w:rsidR="00AB38F5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Ejecución Presupuestaria</w:t>
      </w:r>
      <w:r w:rsidR="002F6AD0">
        <w:rPr>
          <w:rFonts w:ascii="Verdana" w:hAnsi="Verdana" w:cs="Arial"/>
          <w:b/>
          <w:lang w:val="es-MX"/>
        </w:rPr>
        <w:t xml:space="preserve"> PENDIENTE</w:t>
      </w:r>
    </w:p>
    <w:p w14:paraId="7FA75BE0" w14:textId="57474EEB" w:rsidR="00EB300F" w:rsidRDefault="00EB300F" w:rsidP="00AB38F5">
      <w:pPr>
        <w:jc w:val="center"/>
        <w:rPr>
          <w:noProof/>
          <w:lang w:eastAsia="es-GT"/>
        </w:rPr>
      </w:pPr>
    </w:p>
    <w:p w14:paraId="7CE4E3EB" w14:textId="2F8148B8" w:rsidR="00924613" w:rsidRPr="00924613" w:rsidRDefault="00924613" w:rsidP="00924613">
      <w:pPr>
        <w:jc w:val="center"/>
        <w:rPr>
          <w:rFonts w:ascii="Verdana" w:hAnsi="Verdana" w:cs="Arial"/>
          <w:b/>
          <w:lang w:val="es-MX"/>
        </w:rPr>
      </w:pPr>
      <w:r>
        <w:rPr>
          <w:noProof/>
          <w:lang w:eastAsia="es-GT"/>
        </w:rPr>
        <w:drawing>
          <wp:inline distT="0" distB="0" distL="0" distR="0" wp14:anchorId="5E7876E7" wp14:editId="0CCDD7FC">
            <wp:extent cx="3343275" cy="2232660"/>
            <wp:effectExtent l="0" t="0" r="9525" b="1524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D741FD6" w14:textId="77777777" w:rsidR="00924613" w:rsidRDefault="00924613" w:rsidP="00687CE4">
      <w:pPr>
        <w:rPr>
          <w:rFonts w:ascii="Verdana" w:hAnsi="Verdana" w:cs="Arial"/>
          <w:b/>
          <w:sz w:val="14"/>
          <w:lang w:val="es-MX"/>
        </w:rPr>
      </w:pPr>
    </w:p>
    <w:p w14:paraId="0FE4936D" w14:textId="7408B77D" w:rsidR="00AB38F5" w:rsidRPr="00AC73B4" w:rsidRDefault="00275CAA" w:rsidP="00687CE4">
      <w:pPr>
        <w:rPr>
          <w:rFonts w:ascii="Verdana" w:hAnsi="Verdana" w:cs="Arial"/>
          <w:color w:val="000000" w:themeColor="text1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</w:t>
      </w:r>
      <w:r w:rsidR="00687CE4">
        <w:rPr>
          <w:rFonts w:ascii="Verdana" w:hAnsi="Verdana" w:cs="Arial"/>
          <w:sz w:val="14"/>
          <w:lang w:val="es-MX"/>
        </w:rPr>
        <w:t>0</w:t>
      </w:r>
      <w:r w:rsidR="00924613">
        <w:rPr>
          <w:rFonts w:ascii="Verdana" w:hAnsi="Verdana" w:cs="Arial"/>
          <w:sz w:val="14"/>
          <w:lang w:val="es-MX"/>
        </w:rPr>
        <w:t>2</w:t>
      </w:r>
      <w:r w:rsidR="00D51DA9">
        <w:rPr>
          <w:rFonts w:ascii="Verdana" w:hAnsi="Verdana" w:cs="Arial"/>
          <w:sz w:val="14"/>
          <w:lang w:val="es-MX"/>
        </w:rPr>
        <w:t>/</w:t>
      </w:r>
      <w:r w:rsidR="00687CE4">
        <w:rPr>
          <w:rFonts w:ascii="Verdana" w:hAnsi="Verdana" w:cs="Arial"/>
          <w:sz w:val="14"/>
          <w:lang w:val="es-MX"/>
        </w:rPr>
        <w:t>0</w:t>
      </w:r>
      <w:r w:rsidR="00924613">
        <w:rPr>
          <w:rFonts w:ascii="Verdana" w:hAnsi="Verdana" w:cs="Arial"/>
          <w:sz w:val="14"/>
          <w:lang w:val="es-MX"/>
        </w:rPr>
        <w:t>7</w:t>
      </w:r>
      <w:r w:rsidR="00D51DA9">
        <w:rPr>
          <w:rFonts w:ascii="Verdana" w:hAnsi="Verdana" w:cs="Arial"/>
          <w:sz w:val="14"/>
          <w:lang w:val="es-MX"/>
        </w:rPr>
        <w:t xml:space="preserve">/2025 </w:t>
      </w:r>
    </w:p>
    <w:p w14:paraId="7C21DB68" w14:textId="42DB6416" w:rsidR="00EB300F" w:rsidRDefault="00EB300F" w:rsidP="00EB300F">
      <w:pPr>
        <w:rPr>
          <w:rFonts w:ascii="Verdana" w:hAnsi="Verdana" w:cs="Arial"/>
          <w:b/>
          <w:lang w:val="es-MX"/>
        </w:rPr>
      </w:pPr>
    </w:p>
    <w:p w14:paraId="2C0A3969" w14:textId="120E317B" w:rsidR="00AB38F5" w:rsidRPr="00732114" w:rsidRDefault="00AB38F5" w:rsidP="005B1EF4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lastRenderedPageBreak/>
        <w:t>Gráfica No. 2</w:t>
      </w:r>
    </w:p>
    <w:p w14:paraId="454A9EC5" w14:textId="6FFB7D4B" w:rsidR="00C64308" w:rsidRPr="00732114" w:rsidRDefault="00C64308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1F494BCF" w14:textId="3178E180" w:rsidR="00AB38F5" w:rsidRDefault="00765F95" w:rsidP="00AB38F5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</w:t>
      </w:r>
      <w:r w:rsidR="002802F9">
        <w:rPr>
          <w:rFonts w:ascii="Verdana" w:hAnsi="Verdana" w:cs="Arial"/>
          <w:b/>
          <w:lang w:val="es-MX"/>
        </w:rPr>
        <w:t xml:space="preserve"> por grupo de gasto</w:t>
      </w:r>
    </w:p>
    <w:p w14:paraId="64C58396" w14:textId="62C2134E" w:rsidR="00FF65A6" w:rsidRDefault="00924613" w:rsidP="00FF65A6">
      <w:pPr>
        <w:rPr>
          <w:rFonts w:ascii="Verdana" w:hAnsi="Verdana" w:cs="Arial"/>
          <w:b/>
          <w:noProof/>
          <w:sz w:val="14"/>
          <w:lang w:eastAsia="es-GT"/>
        </w:rPr>
      </w:pPr>
      <w:r>
        <w:rPr>
          <w:rFonts w:ascii="Verdana" w:hAnsi="Verdana" w:cs="Arial"/>
          <w:b/>
          <w:noProof/>
          <w:sz w:val="14"/>
          <w:lang w:eastAsia="es-GT"/>
        </w:rPr>
        <w:drawing>
          <wp:anchor distT="0" distB="0" distL="114300" distR="114300" simplePos="0" relativeHeight="251658240" behindDoc="0" locked="0" layoutInCell="1" allowOverlap="1" wp14:anchorId="48746943" wp14:editId="28D5CBF3">
            <wp:simplePos x="0" y="0"/>
            <wp:positionH relativeFrom="margin">
              <wp:posOffset>-99060</wp:posOffset>
            </wp:positionH>
            <wp:positionV relativeFrom="margin">
              <wp:posOffset>758190</wp:posOffset>
            </wp:positionV>
            <wp:extent cx="6110605" cy="4086225"/>
            <wp:effectExtent l="0" t="0" r="4445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408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C718E60" w14:textId="2B316054" w:rsidR="00924613" w:rsidRDefault="00924613" w:rsidP="00FF65A6">
      <w:pPr>
        <w:rPr>
          <w:rFonts w:ascii="Verdana" w:hAnsi="Verdana" w:cs="Arial"/>
          <w:b/>
          <w:noProof/>
          <w:sz w:val="14"/>
          <w:lang w:eastAsia="es-GT"/>
        </w:rPr>
      </w:pPr>
    </w:p>
    <w:p w14:paraId="210245FF" w14:textId="66D9348E" w:rsidR="00EB300F" w:rsidRDefault="00CD7D2D" w:rsidP="00924613">
      <w:pPr>
        <w:rPr>
          <w:rFonts w:ascii="Verdana" w:hAnsi="Verdana" w:cs="Arial"/>
          <w:b/>
          <w:sz w:val="14"/>
          <w:lang w:val="es-MX"/>
        </w:rPr>
      </w:pPr>
      <w:r w:rsidRPr="00CD7D2D">
        <w:rPr>
          <w:noProof/>
          <w:lang w:eastAsia="es-GT"/>
        </w:rPr>
        <w:drawing>
          <wp:inline distT="0" distB="0" distL="0" distR="0" wp14:anchorId="4FD4FC1D" wp14:editId="1302D5D7">
            <wp:extent cx="5953125" cy="1609725"/>
            <wp:effectExtent l="19050" t="19050" r="28575" b="285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486" cy="16103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1A8DFC" w14:textId="6ED2423D" w:rsidR="00924613" w:rsidRDefault="00687CE4" w:rsidP="00687CE4">
      <w:pPr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           </w:t>
      </w:r>
    </w:p>
    <w:p w14:paraId="233DEFC0" w14:textId="6EC0A22D" w:rsidR="00687CE4" w:rsidRPr="009310EF" w:rsidRDefault="00687CE4" w:rsidP="00687CE4">
      <w:pPr>
        <w:rPr>
          <w:rFonts w:ascii="Verdana" w:hAnsi="Verdana" w:cs="Arial"/>
          <w:b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</w:t>
      </w:r>
      <w:r>
        <w:rPr>
          <w:rFonts w:ascii="Verdana" w:hAnsi="Verdana" w:cs="Arial"/>
          <w:sz w:val="14"/>
          <w:lang w:val="es-MX"/>
        </w:rPr>
        <w:t>0</w:t>
      </w:r>
      <w:r w:rsidR="00924613">
        <w:rPr>
          <w:rFonts w:ascii="Verdana" w:hAnsi="Verdana" w:cs="Arial"/>
          <w:sz w:val="14"/>
          <w:lang w:val="es-MX"/>
        </w:rPr>
        <w:t>2</w:t>
      </w:r>
      <w:r>
        <w:rPr>
          <w:rFonts w:ascii="Verdana" w:hAnsi="Verdana" w:cs="Arial"/>
          <w:sz w:val="14"/>
          <w:lang w:val="es-MX"/>
        </w:rPr>
        <w:t>/0</w:t>
      </w:r>
      <w:r w:rsidR="00924613">
        <w:rPr>
          <w:rFonts w:ascii="Verdana" w:hAnsi="Verdana" w:cs="Arial"/>
          <w:sz w:val="14"/>
          <w:lang w:val="es-MX"/>
        </w:rPr>
        <w:t>7</w:t>
      </w:r>
      <w:r>
        <w:rPr>
          <w:rFonts w:ascii="Verdana" w:hAnsi="Verdana" w:cs="Arial"/>
          <w:sz w:val="14"/>
          <w:lang w:val="es-MX"/>
        </w:rPr>
        <w:t xml:space="preserve">/2025 </w:t>
      </w:r>
    </w:p>
    <w:p w14:paraId="45A9B421" w14:textId="0DFA0E02" w:rsidR="005F5695" w:rsidRPr="00732114" w:rsidRDefault="005F5695" w:rsidP="005F5695">
      <w:pPr>
        <w:rPr>
          <w:rFonts w:ascii="Verdana" w:hAnsi="Verdana" w:cs="Arial"/>
          <w:color w:val="000000" w:themeColor="text1"/>
        </w:rPr>
      </w:pPr>
    </w:p>
    <w:p w14:paraId="1131FED5" w14:textId="2FEE7740" w:rsidR="009310EF" w:rsidRDefault="009310EF" w:rsidP="00AB38F5">
      <w:pPr>
        <w:jc w:val="both"/>
        <w:rPr>
          <w:rFonts w:ascii="Verdana" w:hAnsi="Verdana" w:cs="Arial"/>
          <w:lang w:val="es-MX"/>
        </w:rPr>
      </w:pPr>
    </w:p>
    <w:p w14:paraId="76C4654D" w14:textId="471B815C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DD9E627" w14:textId="1808B431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DEB5823" w14:textId="1F0A446E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795339E1" w14:textId="2250AD4B" w:rsidR="00AB38F5" w:rsidRPr="00732114" w:rsidRDefault="001046A7" w:rsidP="00AB38F5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uno</w:t>
      </w:r>
      <w:r w:rsidR="005F569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="005F5695" w:rsidRPr="00732114">
        <w:rPr>
          <w:rFonts w:ascii="Verdana" w:hAnsi="Verdana" w:cs="Arial"/>
          <w:lang w:val="es-MX"/>
        </w:rPr>
        <w:t>la ejecución presupuestaria</w:t>
      </w:r>
      <w:r w:rsidR="00A06E45">
        <w:rPr>
          <w:rFonts w:ascii="Verdana" w:hAnsi="Verdana" w:cs="Arial"/>
          <w:lang w:val="es-MX"/>
        </w:rPr>
        <w:t xml:space="preserve"> acumulada</w:t>
      </w:r>
      <w:r w:rsidR="005F5695" w:rsidRPr="00732114">
        <w:rPr>
          <w:rFonts w:ascii="Verdana" w:hAnsi="Verdana" w:cs="Arial"/>
          <w:lang w:val="es-MX"/>
        </w:rPr>
        <w:t xml:space="preserve"> de </w:t>
      </w:r>
      <w:r w:rsidR="00AB38F5" w:rsidRPr="00732114">
        <w:rPr>
          <w:rFonts w:ascii="Verdana" w:hAnsi="Verdana" w:cs="Arial"/>
          <w:lang w:val="es-MX"/>
        </w:rPr>
        <w:t>los gastos</w:t>
      </w:r>
      <w:r>
        <w:rPr>
          <w:rFonts w:ascii="Verdana" w:hAnsi="Verdana" w:cs="Arial"/>
          <w:lang w:val="es-MX"/>
        </w:rPr>
        <w:t xml:space="preserve"> erogados</w:t>
      </w:r>
      <w:r w:rsidR="00AB38F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="00AB38F5" w:rsidRPr="00732114">
        <w:rPr>
          <w:rFonts w:ascii="Verdana" w:hAnsi="Verdana" w:cs="Arial"/>
          <w:lang w:val="es-MX"/>
        </w:rPr>
        <w:t xml:space="preserve"> dependencias </w:t>
      </w:r>
      <w:r w:rsidR="00765F95">
        <w:rPr>
          <w:rFonts w:ascii="Verdana" w:hAnsi="Verdana" w:cs="Arial"/>
          <w:lang w:val="es-MX"/>
        </w:rPr>
        <w:t xml:space="preserve">y </w:t>
      </w:r>
      <w:r w:rsidR="002A55C2">
        <w:rPr>
          <w:rFonts w:ascii="Verdana" w:hAnsi="Verdana" w:cs="Arial"/>
          <w:lang w:val="es-MX"/>
        </w:rPr>
        <w:t>grupo</w:t>
      </w:r>
      <w:r w:rsidR="00765F95">
        <w:rPr>
          <w:rFonts w:ascii="Verdana" w:hAnsi="Verdana" w:cs="Arial"/>
          <w:lang w:val="es-MX"/>
        </w:rPr>
        <w:t xml:space="preserve"> de gasto, los cuales</w:t>
      </w:r>
      <w:r w:rsidR="00AB38F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contemplan </w:t>
      </w:r>
      <w:r w:rsidR="00765F95">
        <w:rPr>
          <w:rFonts w:ascii="Verdana" w:hAnsi="Verdana" w:cs="Arial"/>
          <w:lang w:val="es-MX"/>
        </w:rPr>
        <w:t>pago de nómina, servicios y compras de bienes y suministros.</w:t>
      </w:r>
    </w:p>
    <w:p w14:paraId="7A6381A2" w14:textId="61B0273F" w:rsidR="00EE2B1A" w:rsidRDefault="00EE2B1A" w:rsidP="00AB38F5">
      <w:pPr>
        <w:jc w:val="both"/>
        <w:rPr>
          <w:rFonts w:ascii="Verdana" w:hAnsi="Verdana" w:cs="Arial"/>
          <w:lang w:val="es-MX"/>
        </w:rPr>
      </w:pPr>
    </w:p>
    <w:p w14:paraId="08E076FC" w14:textId="77777777" w:rsidR="00AB38F5" w:rsidRPr="00732114" w:rsidRDefault="00AB38F5" w:rsidP="00AB38F5">
      <w:pPr>
        <w:ind w:left="2832" w:firstLine="708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Cuadro No. 1</w:t>
      </w:r>
    </w:p>
    <w:p w14:paraId="264159F8" w14:textId="772F8697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34255051" w14:textId="0954B7C8" w:rsidR="00AB38F5" w:rsidRDefault="00765F95" w:rsidP="00AB38F5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="00AB38F5" w:rsidRPr="00732114">
        <w:rPr>
          <w:rFonts w:ascii="Verdana" w:hAnsi="Verdana" w:cs="Arial"/>
          <w:b/>
          <w:lang w:val="es-MX"/>
        </w:rPr>
        <w:t>resupuesto</w:t>
      </w:r>
      <w:r>
        <w:rPr>
          <w:rFonts w:ascii="Verdana" w:hAnsi="Verdana" w:cs="Arial"/>
          <w:b/>
          <w:lang w:val="es-MX"/>
        </w:rPr>
        <w:t xml:space="preserve"> por d</w:t>
      </w:r>
      <w:r w:rsidR="005C61BD" w:rsidRPr="00732114">
        <w:rPr>
          <w:rFonts w:ascii="Verdana" w:hAnsi="Verdana" w:cs="Arial"/>
          <w:b/>
          <w:lang w:val="es-MX"/>
        </w:rPr>
        <w:t>ependencias y</w:t>
      </w:r>
      <w:r w:rsidR="00AB38F5" w:rsidRPr="00732114">
        <w:rPr>
          <w:rFonts w:ascii="Verdana" w:hAnsi="Verdana" w:cs="Arial"/>
          <w:b/>
          <w:lang w:val="es-MX"/>
        </w:rPr>
        <w:t xml:space="preserve"> grupo de gasto</w:t>
      </w:r>
    </w:p>
    <w:p w14:paraId="05E9B40A" w14:textId="53CF0F2C" w:rsidR="00F810AA" w:rsidRDefault="00F810AA" w:rsidP="00DB42CA">
      <w:pPr>
        <w:jc w:val="center"/>
        <w:rPr>
          <w:noProof/>
          <w:lang w:eastAsia="es-GT"/>
        </w:rPr>
      </w:pPr>
    </w:p>
    <w:p w14:paraId="711B3C4F" w14:textId="18572202" w:rsidR="00EB300F" w:rsidRDefault="00692ED0" w:rsidP="00DB42CA">
      <w:pPr>
        <w:jc w:val="center"/>
        <w:rPr>
          <w:noProof/>
          <w:lang w:eastAsia="es-GT"/>
        </w:rPr>
      </w:pPr>
      <w:r w:rsidRPr="00692ED0">
        <w:rPr>
          <w:noProof/>
        </w:rPr>
        <w:drawing>
          <wp:inline distT="0" distB="0" distL="0" distR="0" wp14:anchorId="3049D3CD" wp14:editId="45FCF418">
            <wp:extent cx="5981094" cy="6276975"/>
            <wp:effectExtent l="19050" t="19050" r="1968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246" cy="6285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236541" w14:textId="7C907E4D" w:rsidR="00687CE4" w:rsidRDefault="00687CE4" w:rsidP="00687CE4">
      <w:pPr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</w:t>
      </w:r>
      <w:r w:rsidR="00503B74">
        <w:rPr>
          <w:rFonts w:ascii="Verdana" w:hAnsi="Verdana" w:cs="Arial"/>
          <w:sz w:val="14"/>
          <w:lang w:val="es-MX"/>
        </w:rPr>
        <w:t>0</w:t>
      </w:r>
      <w:r w:rsidR="00CD7D2D">
        <w:rPr>
          <w:rFonts w:ascii="Verdana" w:hAnsi="Verdana" w:cs="Arial"/>
          <w:sz w:val="14"/>
          <w:lang w:val="es-MX"/>
        </w:rPr>
        <w:t>2</w:t>
      </w:r>
      <w:r w:rsidR="00503B74">
        <w:rPr>
          <w:rFonts w:ascii="Verdana" w:hAnsi="Verdana" w:cs="Arial"/>
          <w:sz w:val="14"/>
          <w:lang w:val="es-MX"/>
        </w:rPr>
        <w:t>/0</w:t>
      </w:r>
      <w:r w:rsidR="00CD7D2D">
        <w:rPr>
          <w:rFonts w:ascii="Verdana" w:hAnsi="Verdana" w:cs="Arial"/>
          <w:sz w:val="14"/>
          <w:lang w:val="es-MX"/>
        </w:rPr>
        <w:t>7</w:t>
      </w:r>
      <w:r w:rsidR="006F11CD">
        <w:rPr>
          <w:rFonts w:ascii="Verdana" w:hAnsi="Verdana" w:cs="Arial"/>
          <w:sz w:val="14"/>
          <w:lang w:val="es-MX"/>
        </w:rPr>
        <w:t>/2025</w:t>
      </w:r>
    </w:p>
    <w:p w14:paraId="728C2E5B" w14:textId="77777777" w:rsidR="006F11CD" w:rsidRPr="00AC73B4" w:rsidRDefault="006F11CD" w:rsidP="00687CE4">
      <w:pPr>
        <w:rPr>
          <w:rFonts w:ascii="Verdana" w:hAnsi="Verdana" w:cs="Arial"/>
          <w:color w:val="000000" w:themeColor="text1"/>
          <w:sz w:val="16"/>
        </w:rPr>
      </w:pPr>
    </w:p>
    <w:p w14:paraId="1F8BC312" w14:textId="77777777" w:rsidR="005B1EF4" w:rsidRDefault="005B1EF4" w:rsidP="00AB38F5">
      <w:pPr>
        <w:jc w:val="both"/>
        <w:rPr>
          <w:rFonts w:ascii="Verdana" w:hAnsi="Verdana" w:cs="Arial"/>
          <w:lang w:val="es-MX"/>
        </w:rPr>
      </w:pPr>
    </w:p>
    <w:p w14:paraId="71F3AE92" w14:textId="7782E59C" w:rsidR="00AB38F5" w:rsidRPr="00732114" w:rsidRDefault="008B726B" w:rsidP="00AB38F5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dos</w:t>
      </w:r>
      <w:r w:rsidR="00AB38F5" w:rsidRPr="00732114">
        <w:rPr>
          <w:rFonts w:ascii="Verdana" w:hAnsi="Verdana" w:cs="Arial"/>
          <w:lang w:val="es-MX"/>
        </w:rPr>
        <w:t xml:space="preserve"> deta</w:t>
      </w:r>
      <w:r>
        <w:rPr>
          <w:rFonts w:ascii="Verdana" w:hAnsi="Verdana" w:cs="Arial"/>
          <w:lang w:val="es-MX"/>
        </w:rPr>
        <w:t>lla el comportamiento de</w:t>
      </w:r>
      <w:r w:rsidR="00AB38F5" w:rsidRPr="00732114">
        <w:rPr>
          <w:rFonts w:ascii="Verdana" w:hAnsi="Verdana" w:cs="Arial"/>
          <w:lang w:val="es-MX"/>
        </w:rPr>
        <w:t xml:space="preserve"> las cuotas</w:t>
      </w:r>
      <w:r w:rsidR="00E01E7B" w:rsidRPr="00732114">
        <w:rPr>
          <w:rFonts w:ascii="Verdana" w:hAnsi="Verdana" w:cs="Arial"/>
          <w:lang w:val="es-MX"/>
        </w:rPr>
        <w:t xml:space="preserve"> financieras</w:t>
      </w:r>
      <w:r w:rsidR="00A06E45">
        <w:rPr>
          <w:rFonts w:ascii="Verdana" w:hAnsi="Verdana" w:cs="Arial"/>
          <w:lang w:val="es-MX"/>
        </w:rPr>
        <w:t xml:space="preserve"> acumuladas</w:t>
      </w:r>
      <w:r>
        <w:rPr>
          <w:rFonts w:ascii="Verdana" w:hAnsi="Verdana" w:cs="Arial"/>
          <w:lang w:val="es-MX"/>
        </w:rPr>
        <w:t xml:space="preserve"> solicitadas y utilizadas</w:t>
      </w:r>
      <w:r w:rsidR="00AB38F5" w:rsidRPr="00732114">
        <w:rPr>
          <w:rFonts w:ascii="Verdana" w:hAnsi="Verdana" w:cs="Arial"/>
          <w:lang w:val="es-MX"/>
        </w:rPr>
        <w:t xml:space="preserve"> por las</w:t>
      </w:r>
      <w:r w:rsidR="007C4B5E">
        <w:rPr>
          <w:rFonts w:ascii="Verdana" w:hAnsi="Verdana" w:cs="Arial"/>
          <w:lang w:val="es-MX"/>
        </w:rPr>
        <w:t xml:space="preserve"> unidades ejecutoras adscritas al Viceministerio</w:t>
      </w:r>
      <w:r w:rsidR="001C28E1">
        <w:rPr>
          <w:rFonts w:ascii="Verdana" w:hAnsi="Verdana" w:cs="Arial"/>
          <w:lang w:val="es-MX"/>
        </w:rPr>
        <w:t>,</w:t>
      </w:r>
      <w:r w:rsidR="007C4B5E">
        <w:rPr>
          <w:rFonts w:ascii="Verdana" w:hAnsi="Verdana" w:cs="Arial"/>
          <w:lang w:val="es-MX"/>
        </w:rPr>
        <w:t xml:space="preserve"> según</w:t>
      </w:r>
      <w:r w:rsidR="00CC7AC2">
        <w:rPr>
          <w:rFonts w:ascii="Verdana" w:hAnsi="Verdana" w:cs="Arial"/>
          <w:lang w:val="es-MX"/>
        </w:rPr>
        <w:t xml:space="preserve"> </w:t>
      </w:r>
      <w:r w:rsidR="005B1EF4">
        <w:rPr>
          <w:rFonts w:ascii="Verdana" w:hAnsi="Verdana" w:cs="Arial"/>
          <w:lang w:val="es-MX"/>
        </w:rPr>
        <w:t>los distintos grupos de gasto</w:t>
      </w:r>
    </w:p>
    <w:p w14:paraId="3A442756" w14:textId="2A48AAF2" w:rsidR="00C92036" w:rsidRDefault="00C92036" w:rsidP="00AB38F5">
      <w:pPr>
        <w:rPr>
          <w:rFonts w:ascii="Verdana" w:hAnsi="Verdana"/>
        </w:rPr>
      </w:pPr>
    </w:p>
    <w:p w14:paraId="20D1D9EA" w14:textId="77777777" w:rsidR="00C92036" w:rsidRPr="00896A09" w:rsidRDefault="00C92036" w:rsidP="00C92036">
      <w:pPr>
        <w:jc w:val="center"/>
        <w:rPr>
          <w:rFonts w:ascii="Verdana" w:hAnsi="Verdana" w:cs="Arial"/>
          <w:b/>
          <w:lang w:val="es-MX"/>
        </w:rPr>
      </w:pPr>
      <w:r w:rsidRPr="00896A09">
        <w:rPr>
          <w:rFonts w:ascii="Verdana" w:hAnsi="Verdana" w:cs="Arial"/>
          <w:b/>
          <w:lang w:val="es-MX"/>
        </w:rPr>
        <w:t>Cuadro No. 2</w:t>
      </w:r>
    </w:p>
    <w:p w14:paraId="2DA1BA27" w14:textId="77777777" w:rsidR="00C92036" w:rsidRPr="00896A09" w:rsidRDefault="00C92036" w:rsidP="00C92036">
      <w:pPr>
        <w:jc w:val="center"/>
        <w:rPr>
          <w:rFonts w:ascii="Verdana" w:hAnsi="Verdana" w:cs="Arial"/>
          <w:b/>
          <w:lang w:val="es-MX"/>
        </w:rPr>
      </w:pPr>
      <w:r w:rsidRPr="00896A09">
        <w:rPr>
          <w:rFonts w:ascii="Verdana" w:hAnsi="Verdana" w:cs="Arial"/>
          <w:b/>
          <w:lang w:val="es-MX"/>
        </w:rPr>
        <w:t>Viceministerio de Inversión y Competencia</w:t>
      </w:r>
    </w:p>
    <w:p w14:paraId="306F4355" w14:textId="3E260016" w:rsidR="00C92036" w:rsidRPr="006F11CD" w:rsidRDefault="00C92036" w:rsidP="00C92036">
      <w:pPr>
        <w:jc w:val="center"/>
        <w:rPr>
          <w:rFonts w:ascii="Verdana" w:hAnsi="Verdana" w:cs="Arial"/>
          <w:b/>
          <w:color w:val="FF0000"/>
          <w:lang w:val="es-MX"/>
        </w:rPr>
      </w:pPr>
      <w:r w:rsidRPr="00896A09">
        <w:rPr>
          <w:rFonts w:ascii="Verdana" w:hAnsi="Verdana" w:cs="Arial"/>
          <w:b/>
          <w:lang w:val="es-MX"/>
        </w:rPr>
        <w:t>Informe de Ejecución de Cuota Financiera</w:t>
      </w:r>
      <w:r w:rsidR="006F11CD">
        <w:rPr>
          <w:rFonts w:ascii="Verdana" w:hAnsi="Verdana" w:cs="Arial"/>
          <w:b/>
          <w:lang w:val="es-MX"/>
        </w:rPr>
        <w:t xml:space="preserve"> </w:t>
      </w:r>
      <w:r w:rsidR="00164E9C">
        <w:rPr>
          <w:rFonts w:ascii="Verdana" w:hAnsi="Verdana" w:cs="Arial"/>
          <w:b/>
          <w:color w:val="FF0000"/>
          <w:lang w:val="es-MX"/>
        </w:rPr>
        <w:t xml:space="preserve"> </w:t>
      </w:r>
    </w:p>
    <w:p w14:paraId="6A887A09" w14:textId="589189B8" w:rsidR="00C92036" w:rsidRDefault="00C92036" w:rsidP="00AB38F5">
      <w:pPr>
        <w:rPr>
          <w:rFonts w:ascii="Verdana" w:hAnsi="Verdana"/>
        </w:rPr>
      </w:pPr>
    </w:p>
    <w:p w14:paraId="7E12AF22" w14:textId="5E96DCF9" w:rsidR="00C92036" w:rsidRDefault="00896A09" w:rsidP="00AB38F5">
      <w:pPr>
        <w:rPr>
          <w:rFonts w:ascii="Verdana" w:hAnsi="Verdana"/>
        </w:rPr>
      </w:pPr>
      <w:r w:rsidRPr="00896A09">
        <w:rPr>
          <w:noProof/>
          <w:lang w:eastAsia="es-GT"/>
        </w:rPr>
        <w:drawing>
          <wp:inline distT="0" distB="0" distL="0" distR="0" wp14:anchorId="14B06E1D" wp14:editId="7DC815D6">
            <wp:extent cx="5611495" cy="5772150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032" cy="577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6B4B2" w14:textId="77777777" w:rsidR="00C92036" w:rsidRDefault="00C92036" w:rsidP="00C92036">
      <w:pPr>
        <w:rPr>
          <w:rFonts w:ascii="Verdana" w:hAnsi="Verdana" w:cs="Arial"/>
          <w:b/>
          <w:sz w:val="14"/>
          <w:lang w:val="es-MX"/>
        </w:rPr>
      </w:pPr>
    </w:p>
    <w:p w14:paraId="19C67C4C" w14:textId="4AE8D5CB" w:rsidR="006A48CB" w:rsidRPr="00E1071A" w:rsidRDefault="00C92036" w:rsidP="000641AF">
      <w:pPr>
        <w:rPr>
          <w:rFonts w:ascii="Verdana" w:hAnsi="Verdana" w:cs="Times New Roman"/>
          <w:b/>
        </w:rPr>
      </w:pPr>
      <w:r>
        <w:rPr>
          <w:rFonts w:ascii="Verdana" w:hAnsi="Verdana" w:cs="Arial"/>
          <w:b/>
          <w:sz w:val="14"/>
          <w:lang w:val="es-MX"/>
        </w:rPr>
        <w:t xml:space="preserve"> </w:t>
      </w:r>
      <w:r w:rsidR="009310EF" w:rsidRPr="006014DF">
        <w:rPr>
          <w:rFonts w:ascii="Verdana" w:hAnsi="Verdana" w:cs="Arial"/>
          <w:b/>
          <w:sz w:val="14"/>
          <w:lang w:val="es-MX"/>
        </w:rPr>
        <w:t>Fuente:</w:t>
      </w:r>
      <w:r w:rsidR="009310EF" w:rsidRPr="006014DF">
        <w:rPr>
          <w:rFonts w:ascii="Verdana" w:hAnsi="Verdana" w:cs="Arial"/>
          <w:sz w:val="14"/>
          <w:lang w:val="es-MX"/>
        </w:rPr>
        <w:t xml:space="preserve"> Sistema de Contabilidad Integrada (Sicoin) </w:t>
      </w:r>
      <w:r w:rsidR="006A48CB">
        <w:rPr>
          <w:rFonts w:ascii="Verdana" w:hAnsi="Verdana" w:cs="Arial"/>
          <w:sz w:val="14"/>
          <w:lang w:val="es-MX"/>
        </w:rPr>
        <w:t>0</w:t>
      </w:r>
      <w:r w:rsidR="00CD7D2D">
        <w:rPr>
          <w:rFonts w:ascii="Verdana" w:hAnsi="Verdana" w:cs="Arial"/>
          <w:sz w:val="14"/>
          <w:lang w:val="es-MX"/>
        </w:rPr>
        <w:t>2</w:t>
      </w:r>
      <w:r w:rsidR="009310EF">
        <w:rPr>
          <w:rFonts w:ascii="Verdana" w:hAnsi="Verdana" w:cs="Arial"/>
          <w:sz w:val="14"/>
          <w:lang w:val="es-MX"/>
        </w:rPr>
        <w:t>/0</w:t>
      </w:r>
      <w:r w:rsidR="00CD7D2D">
        <w:rPr>
          <w:rFonts w:ascii="Verdana" w:hAnsi="Verdana" w:cs="Arial"/>
          <w:sz w:val="14"/>
          <w:lang w:val="es-MX"/>
        </w:rPr>
        <w:t>7</w:t>
      </w:r>
      <w:r w:rsidR="009310EF">
        <w:rPr>
          <w:rFonts w:ascii="Verdana" w:hAnsi="Verdana" w:cs="Arial"/>
          <w:sz w:val="14"/>
          <w:lang w:val="es-MX"/>
        </w:rPr>
        <w:t xml:space="preserve">/2025 </w:t>
      </w:r>
    </w:p>
    <w:p w14:paraId="00282587" w14:textId="77777777" w:rsidR="00164E9C" w:rsidRDefault="00164E9C" w:rsidP="00AB38F5">
      <w:pPr>
        <w:rPr>
          <w:rFonts w:ascii="Verdana" w:hAnsi="Verdana" w:cs="Arial"/>
          <w:b/>
          <w:sz w:val="14"/>
          <w:lang w:val="es-MX"/>
        </w:rPr>
      </w:pPr>
    </w:p>
    <w:sectPr w:rsidR="00164E9C" w:rsidSect="002114A1">
      <w:headerReference w:type="default" r:id="rId12"/>
      <w:footerReference w:type="default" r:id="rId13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D41F2" w14:textId="77777777" w:rsidR="0075765D" w:rsidRDefault="0075765D" w:rsidP="00950217">
      <w:r>
        <w:separator/>
      </w:r>
    </w:p>
  </w:endnote>
  <w:endnote w:type="continuationSeparator" w:id="0">
    <w:p w14:paraId="43414468" w14:textId="77777777" w:rsidR="0075765D" w:rsidRDefault="0075765D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181949046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4C2DA" w14:textId="77777777" w:rsidR="0075765D" w:rsidRDefault="0075765D" w:rsidP="00950217">
      <w:r>
        <w:separator/>
      </w:r>
    </w:p>
  </w:footnote>
  <w:footnote w:type="continuationSeparator" w:id="0">
    <w:p w14:paraId="489D74BD" w14:textId="77777777" w:rsidR="0075765D" w:rsidRDefault="0075765D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708F97A">
          <wp:simplePos x="0" y="0"/>
          <wp:positionH relativeFrom="page">
            <wp:posOffset>0</wp:posOffset>
          </wp:positionH>
          <wp:positionV relativeFrom="paragraph">
            <wp:posOffset>-414655</wp:posOffset>
          </wp:positionV>
          <wp:extent cx="7753350" cy="1283452"/>
          <wp:effectExtent l="0" t="0" r="0" b="0"/>
          <wp:wrapNone/>
          <wp:docPr id="214273407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29B4"/>
    <w:rsid w:val="00015989"/>
    <w:rsid w:val="00040299"/>
    <w:rsid w:val="00047616"/>
    <w:rsid w:val="00062442"/>
    <w:rsid w:val="000638DF"/>
    <w:rsid w:val="000641AF"/>
    <w:rsid w:val="000A3E92"/>
    <w:rsid w:val="000D75DA"/>
    <w:rsid w:val="000E43D2"/>
    <w:rsid w:val="000F6B0C"/>
    <w:rsid w:val="00100102"/>
    <w:rsid w:val="00103B3F"/>
    <w:rsid w:val="001046A7"/>
    <w:rsid w:val="00106C21"/>
    <w:rsid w:val="001352BF"/>
    <w:rsid w:val="00142F8F"/>
    <w:rsid w:val="00164E9C"/>
    <w:rsid w:val="00166D19"/>
    <w:rsid w:val="001769F7"/>
    <w:rsid w:val="00183A5B"/>
    <w:rsid w:val="001913DA"/>
    <w:rsid w:val="001952E8"/>
    <w:rsid w:val="001A23E1"/>
    <w:rsid w:val="001B245F"/>
    <w:rsid w:val="001B4703"/>
    <w:rsid w:val="001C28E1"/>
    <w:rsid w:val="00210269"/>
    <w:rsid w:val="002114A1"/>
    <w:rsid w:val="002204FB"/>
    <w:rsid w:val="00230B4A"/>
    <w:rsid w:val="00235A0B"/>
    <w:rsid w:val="0024654A"/>
    <w:rsid w:val="00262645"/>
    <w:rsid w:val="0027175D"/>
    <w:rsid w:val="0027426F"/>
    <w:rsid w:val="00275CAA"/>
    <w:rsid w:val="002802F9"/>
    <w:rsid w:val="0029366D"/>
    <w:rsid w:val="002A55C2"/>
    <w:rsid w:val="002A561E"/>
    <w:rsid w:val="002A6864"/>
    <w:rsid w:val="002A7104"/>
    <w:rsid w:val="002C2478"/>
    <w:rsid w:val="002C38CB"/>
    <w:rsid w:val="002E52C2"/>
    <w:rsid w:val="002F17ED"/>
    <w:rsid w:val="002F6AD0"/>
    <w:rsid w:val="00313F7D"/>
    <w:rsid w:val="00314DB8"/>
    <w:rsid w:val="00322962"/>
    <w:rsid w:val="00341264"/>
    <w:rsid w:val="0037225F"/>
    <w:rsid w:val="00383F4B"/>
    <w:rsid w:val="003974CA"/>
    <w:rsid w:val="003A612F"/>
    <w:rsid w:val="003F54EC"/>
    <w:rsid w:val="00441015"/>
    <w:rsid w:val="00473FE8"/>
    <w:rsid w:val="00487AF3"/>
    <w:rsid w:val="004D43EC"/>
    <w:rsid w:val="004D5152"/>
    <w:rsid w:val="00503B74"/>
    <w:rsid w:val="00507D19"/>
    <w:rsid w:val="005537AE"/>
    <w:rsid w:val="00553FEB"/>
    <w:rsid w:val="00593C7D"/>
    <w:rsid w:val="0059682B"/>
    <w:rsid w:val="005A4D35"/>
    <w:rsid w:val="005B1EF4"/>
    <w:rsid w:val="005B4620"/>
    <w:rsid w:val="005B479F"/>
    <w:rsid w:val="005C4EEB"/>
    <w:rsid w:val="005C61BD"/>
    <w:rsid w:val="005C7CF2"/>
    <w:rsid w:val="005E2E7E"/>
    <w:rsid w:val="005F5695"/>
    <w:rsid w:val="00607F76"/>
    <w:rsid w:val="006141AA"/>
    <w:rsid w:val="006167A2"/>
    <w:rsid w:val="006240FE"/>
    <w:rsid w:val="00687CE4"/>
    <w:rsid w:val="00692ED0"/>
    <w:rsid w:val="00693BAC"/>
    <w:rsid w:val="006A48CB"/>
    <w:rsid w:val="006B3B0D"/>
    <w:rsid w:val="006C4A2F"/>
    <w:rsid w:val="006E1C78"/>
    <w:rsid w:val="006E32FB"/>
    <w:rsid w:val="006E79D6"/>
    <w:rsid w:val="006F11CD"/>
    <w:rsid w:val="006F15AF"/>
    <w:rsid w:val="0071329B"/>
    <w:rsid w:val="00732114"/>
    <w:rsid w:val="00733A93"/>
    <w:rsid w:val="0075765D"/>
    <w:rsid w:val="00765F95"/>
    <w:rsid w:val="00775772"/>
    <w:rsid w:val="00782E25"/>
    <w:rsid w:val="00794305"/>
    <w:rsid w:val="007C4B5E"/>
    <w:rsid w:val="008075F3"/>
    <w:rsid w:val="008254BC"/>
    <w:rsid w:val="00870270"/>
    <w:rsid w:val="008723E7"/>
    <w:rsid w:val="0088486A"/>
    <w:rsid w:val="00891D77"/>
    <w:rsid w:val="008966AB"/>
    <w:rsid w:val="00896A09"/>
    <w:rsid w:val="008973EC"/>
    <w:rsid w:val="008A4305"/>
    <w:rsid w:val="008A58DA"/>
    <w:rsid w:val="008B726B"/>
    <w:rsid w:val="008E47E2"/>
    <w:rsid w:val="008E5350"/>
    <w:rsid w:val="0090788B"/>
    <w:rsid w:val="00924613"/>
    <w:rsid w:val="009263F2"/>
    <w:rsid w:val="00927BDC"/>
    <w:rsid w:val="00930282"/>
    <w:rsid w:val="009310EF"/>
    <w:rsid w:val="00950217"/>
    <w:rsid w:val="009571B6"/>
    <w:rsid w:val="009754CE"/>
    <w:rsid w:val="009B035D"/>
    <w:rsid w:val="009C40EB"/>
    <w:rsid w:val="009E1F4C"/>
    <w:rsid w:val="009F1326"/>
    <w:rsid w:val="009F2236"/>
    <w:rsid w:val="009F6A1D"/>
    <w:rsid w:val="009F7CFB"/>
    <w:rsid w:val="00A020F8"/>
    <w:rsid w:val="00A03420"/>
    <w:rsid w:val="00A06E45"/>
    <w:rsid w:val="00A07044"/>
    <w:rsid w:val="00A11628"/>
    <w:rsid w:val="00A222A9"/>
    <w:rsid w:val="00A23B89"/>
    <w:rsid w:val="00A34B00"/>
    <w:rsid w:val="00A57D2A"/>
    <w:rsid w:val="00AB22FE"/>
    <w:rsid w:val="00AB38F5"/>
    <w:rsid w:val="00AB3E39"/>
    <w:rsid w:val="00AB3EA8"/>
    <w:rsid w:val="00AC30B6"/>
    <w:rsid w:val="00AC73B4"/>
    <w:rsid w:val="00AE59AB"/>
    <w:rsid w:val="00AE7BBF"/>
    <w:rsid w:val="00B316E3"/>
    <w:rsid w:val="00B559C3"/>
    <w:rsid w:val="00B55A30"/>
    <w:rsid w:val="00B60E91"/>
    <w:rsid w:val="00BB35A3"/>
    <w:rsid w:val="00BC5C3F"/>
    <w:rsid w:val="00BE4C5C"/>
    <w:rsid w:val="00BE4DD6"/>
    <w:rsid w:val="00BE6DE5"/>
    <w:rsid w:val="00BF205D"/>
    <w:rsid w:val="00C07E0B"/>
    <w:rsid w:val="00C64308"/>
    <w:rsid w:val="00C72F67"/>
    <w:rsid w:val="00C92036"/>
    <w:rsid w:val="00C93DDB"/>
    <w:rsid w:val="00CB25CE"/>
    <w:rsid w:val="00CB2A75"/>
    <w:rsid w:val="00CC539A"/>
    <w:rsid w:val="00CC7AC2"/>
    <w:rsid w:val="00CD15FB"/>
    <w:rsid w:val="00CD40D1"/>
    <w:rsid w:val="00CD7D2D"/>
    <w:rsid w:val="00CE3B77"/>
    <w:rsid w:val="00CF26E5"/>
    <w:rsid w:val="00CF2ACD"/>
    <w:rsid w:val="00CF72F1"/>
    <w:rsid w:val="00D266EB"/>
    <w:rsid w:val="00D51DA9"/>
    <w:rsid w:val="00D61975"/>
    <w:rsid w:val="00D806CC"/>
    <w:rsid w:val="00D80E99"/>
    <w:rsid w:val="00D93DC2"/>
    <w:rsid w:val="00DA4F9A"/>
    <w:rsid w:val="00DA6525"/>
    <w:rsid w:val="00DB1796"/>
    <w:rsid w:val="00DB42CA"/>
    <w:rsid w:val="00DD49D8"/>
    <w:rsid w:val="00DD720C"/>
    <w:rsid w:val="00DE379B"/>
    <w:rsid w:val="00DE37ED"/>
    <w:rsid w:val="00E01E7B"/>
    <w:rsid w:val="00E07DC6"/>
    <w:rsid w:val="00E21A0D"/>
    <w:rsid w:val="00E301A8"/>
    <w:rsid w:val="00E40F53"/>
    <w:rsid w:val="00E66286"/>
    <w:rsid w:val="00E76CDB"/>
    <w:rsid w:val="00EB2464"/>
    <w:rsid w:val="00EB300F"/>
    <w:rsid w:val="00ED2FA1"/>
    <w:rsid w:val="00EE2B1A"/>
    <w:rsid w:val="00EF05FE"/>
    <w:rsid w:val="00F27518"/>
    <w:rsid w:val="00F3183C"/>
    <w:rsid w:val="00F3241F"/>
    <w:rsid w:val="00F61D80"/>
    <w:rsid w:val="00F7732C"/>
    <w:rsid w:val="00F77369"/>
    <w:rsid w:val="00F810AA"/>
    <w:rsid w:val="00F8626B"/>
    <w:rsid w:val="00F919AF"/>
    <w:rsid w:val="00F93906"/>
    <w:rsid w:val="00FB2180"/>
    <w:rsid w:val="00FB3BBA"/>
    <w:rsid w:val="00FB4425"/>
    <w:rsid w:val="00FD0745"/>
    <w:rsid w:val="00FD6F2C"/>
    <w:rsid w:val="00FD7D6E"/>
    <w:rsid w:val="00FF65A6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5CA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5CA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75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mescobarc\Documents\MEscobar\Informes%20de%20Gesti&#243;n\JUNIO\Presupuesto%20por%20Dependencias%20Acumulado%20JUNIO%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593364754077831E-2"/>
          <c:y val="3.2976373189923538E-2"/>
          <c:w val="0.96884167881569827"/>
          <c:h val="0.9607893053882988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76000"/>
                  <a:alpha val="90000"/>
                </a:schemeClr>
              </a:solidFill>
              <a:ln w="19050">
                <a:solidFill>
                  <a:schemeClr val="accent1">
                    <a:shade val="76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shade val="76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shade val="76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E62-4A95-8AD7-FB35C5173459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  <a:alpha val="90000"/>
                </a:schemeClr>
              </a:solidFill>
              <a:ln w="19050">
                <a:solidFill>
                  <a:schemeClr val="accent1">
                    <a:tint val="77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tint val="77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tint val="77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E62-4A95-8AD7-FB35C5173459}"/>
              </c:ext>
            </c:extLst>
          </c:dPt>
          <c:dLbls>
            <c:dLbl>
              <c:idx val="0"/>
              <c:layout>
                <c:manualLayout>
                  <c:x val="-1.0796150481189851E-2"/>
                  <c:y val="7.6510893344367323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rgbClr val="0070C0"/>
                        </a:solidFill>
                        <a:effectLst/>
                        <a:latin typeface="Verdana" panose="020B0604030504040204" pitchFamily="34" charset="0"/>
                        <a:ea typeface="Verdana" panose="020B0604030504040204" pitchFamily="34" charset="0"/>
                        <a:cs typeface="+mn-cs"/>
                      </a:defRPr>
                    </a:pPr>
                    <a:fld id="{7D965F49-A9E8-492D-8A96-2D1843781BFC}" type="CATEGORYNAME">
                      <a:rPr lang="en-US" sz="60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[NOMBRE DE CATEGORÍA]</a:t>
                    </a:fld>
                    <a:r>
                      <a:rPr lang="en-US" sz="6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  <a:fld id="{D077F604-C60B-40B3-85C0-7C05C2F6F2AD}" type="VALUE">
                      <a:rPr lang="en-US" sz="6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[VALOR]</a:t>
                    </a:fld>
                    <a:r>
                      <a:rPr lang="en-US" sz="6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</a:p>
                  <a:p>
                    <a:pPr>
                      <a:defRPr sz="1600" b="1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defRPr>
                    </a:pPr>
                    <a:fld id="{2E7DC8DE-18A5-402C-BE8F-DABEF0EB16EA}" type="PERCENTAGE">
                      <a:rPr lang="en-US" sz="6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[PORCENTAJE]</a:t>
                    </a:fld>
                    <a:endParaRPr lang="es-GT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shade val="76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shade val="76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0070C0"/>
                      </a:solidFill>
                      <a:effectLst/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276368578927634"/>
                      <c:h val="0.259657345121141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E62-4A95-8AD7-FB35C5173459}"/>
                </c:ext>
              </c:extLst>
            </c:dLbl>
            <c:dLbl>
              <c:idx val="1"/>
              <c:layout>
                <c:manualLayout>
                  <c:x val="0.11507952130983627"/>
                  <c:y val="-0.2517784132342458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rgbClr val="0070C0"/>
                        </a:solidFill>
                        <a:effectLst/>
                        <a:latin typeface="Verdana" panose="020B0604030504040204" pitchFamily="34" charset="0"/>
                        <a:ea typeface="Verdana" panose="020B0604030504040204" pitchFamily="34" charset="0"/>
                        <a:cs typeface="+mn-cs"/>
                      </a:defRPr>
                    </a:pPr>
                    <a:fld id="{89575D62-68AB-4241-A430-367604E60EB1}" type="CATEGORYNAME">
                      <a:rPr lang="en-US" sz="60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[NOMBRE DE CATEGORÍA]</a:t>
                    </a:fld>
                    <a:r>
                      <a:rPr lang="en-US" sz="6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  <a:fld id="{7E113A83-01CD-4010-A576-472E8D6D380C}" type="VALUE">
                      <a:rPr lang="en-US" sz="6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[VALOR]</a:t>
                    </a:fld>
                    <a:r>
                      <a:rPr lang="en-US" sz="6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</a:t>
                    </a:r>
                  </a:p>
                  <a:p>
                    <a:pPr>
                      <a:defRPr sz="1600" b="1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defRPr>
                    </a:pPr>
                    <a:r>
                      <a:rPr lang="en-US" sz="6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 </a:t>
                    </a:r>
                    <a:fld id="{932FC820-A0A3-4D1B-9A8C-884894CA3CFF}" type="PERCENTAGE">
                      <a:rPr lang="en-US" sz="6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 b="1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[PORCENTAJE]</a:t>
                    </a:fld>
                    <a:endParaRPr lang="en-US" sz="600" baseline="0">
                      <a:solidFill>
                        <a:srgbClr val="0070C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</a:endParaRP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tint val="77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tint val="77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rgbClr val="0070C0"/>
                      </a:solidFill>
                      <a:effectLst/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128265216847885"/>
                      <c:h val="0.1673515121223790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E62-4A95-8AD7-FB35C5173459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0070C0"/>
                    </a:solidFill>
                    <a:effectLst/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es-GT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('\Users\lmescobarc\AppData\Local\Microsoft\Windows\INetCache\Content.Outlook\ZZ90FGON\[llegue Presupuesto por Dependencias Acumulado JUNIO 25.xlsx]Inversion'!$H$3,'\Users\lmescobarc\AppData\Local\Microsoft\Windows\INetCache\Content.Outlook\ZZ90FGON\[llegue Presupuesto por Dependencias Acumulado JUNIO 25.xlsx]Inversion'!$I$3)</c:f>
              <c:strCache>
                <c:ptCount val="2"/>
                <c:pt idx="0">
                  <c:v>Devengado </c:v>
                </c:pt>
                <c:pt idx="1">
                  <c:v>Saldo por devengar </c:v>
                </c:pt>
              </c:strCache>
            </c:strRef>
          </c:cat>
          <c:val>
            <c:numRef>
              <c:f>('\Users\lmescobarc\AppData\Local\Microsoft\Windows\INetCache\Content.Outlook\ZZ90FGON\[llegue Presupuesto por Dependencias Acumulado JUNIO 25.xlsx]Inversion'!$H$49,'\Users\lmescobarc\AppData\Local\Microsoft\Windows\INetCache\Content.Outlook\ZZ90FGON\[llegue Presupuesto por Dependencias Acumulado JUNIO 25.xlsx]Inversion'!$I$49)</c:f>
              <c:numCache>
                <c:formatCode>General</c:formatCode>
                <c:ptCount val="2"/>
                <c:pt idx="0">
                  <c:v>25856685.670000002</c:v>
                </c:pt>
                <c:pt idx="1">
                  <c:v>61229328.329999998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E62-4A95-8AD7-FB35C5173459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44E1E-DDC9-47EB-A429-8A276B3A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 Hernández</cp:lastModifiedBy>
  <cp:revision>9</cp:revision>
  <cp:lastPrinted>2025-02-06T20:55:00Z</cp:lastPrinted>
  <dcterms:created xsi:type="dcterms:W3CDTF">2025-07-02T21:11:00Z</dcterms:created>
  <dcterms:modified xsi:type="dcterms:W3CDTF">2025-07-18T01:39:00Z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