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B56A" w14:textId="228412D7" w:rsidR="003C58C1" w:rsidRDefault="003C58C1" w:rsidP="003C58C1">
      <w:pPr>
        <w:rPr>
          <w:rFonts w:ascii="Verdana" w:hAnsi="Verdana"/>
          <w:sz w:val="48"/>
          <w:szCs w:val="40"/>
        </w:rPr>
      </w:pPr>
    </w:p>
    <w:p w14:paraId="036185A7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73F732AB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0FB93A47" w14:textId="77777777" w:rsidR="001B277B" w:rsidRPr="00FD0B92" w:rsidRDefault="001B277B" w:rsidP="003C58C1">
      <w:pPr>
        <w:rPr>
          <w:rFonts w:ascii="Verdana" w:hAnsi="Verdana"/>
          <w:sz w:val="48"/>
          <w:szCs w:val="40"/>
        </w:rPr>
      </w:pPr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08353EEE" w:rsidR="003C58C1" w:rsidRPr="00FD0B92" w:rsidRDefault="00A05E3C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Enero de 2025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34F5CA34" w14:textId="77777777" w:rsidR="002C7F50" w:rsidRPr="0010018F" w:rsidRDefault="002C7F50" w:rsidP="003C58C1">
      <w:pPr>
        <w:rPr>
          <w:rFonts w:ascii="Verdana" w:hAnsi="Verdana" w:cs="Arial"/>
          <w:b/>
        </w:rPr>
      </w:pPr>
    </w:p>
    <w:p w14:paraId="472CFDF9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402DED3D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 </w:t>
      </w:r>
      <w:r w:rsidR="00E917BC">
        <w:rPr>
          <w:rFonts w:ascii="Verdana" w:hAnsi="Verdana" w:cs="Arial"/>
          <w:b/>
          <w:lang w:val="es-MX"/>
        </w:rPr>
        <w:t>ENERO DE 2025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7777777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6FECAD5D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 xml:space="preserve">Para lograr su objetivo cuenta con </w:t>
      </w:r>
      <w:r w:rsidR="00E917BC">
        <w:rPr>
          <w:rFonts w:ascii="Verdana" w:eastAsia="Calibri" w:hAnsi="Verdana" w:cs="Arial"/>
          <w:szCs w:val="24"/>
          <w:lang w:val="es-MX" w:eastAsia="en-US"/>
        </w:rPr>
        <w:t>cinco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Viceministerios</w:t>
      </w:r>
      <w:r w:rsidR="00D210B2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Pr="0010018F">
        <w:rPr>
          <w:rFonts w:ascii="Verdana" w:eastAsia="Calibri" w:hAnsi="Verdana" w:cs="Arial"/>
          <w:szCs w:val="24"/>
          <w:lang w:val="es-MX" w:eastAsia="en-US"/>
        </w:rPr>
        <w:t>cada uno tiene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 un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pre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supuesto asignado, </w:t>
      </w:r>
      <w:r w:rsidR="00D210B2">
        <w:rPr>
          <w:rFonts w:ascii="Verdana" w:eastAsia="Calibri" w:hAnsi="Verdana" w:cs="Arial"/>
          <w:szCs w:val="24"/>
          <w:lang w:val="es-MX" w:eastAsia="en-US"/>
        </w:rPr>
        <w:t>a su vez</w:t>
      </w:r>
      <w:r w:rsidR="00C07E36">
        <w:rPr>
          <w:rFonts w:ascii="Verdana" w:eastAsia="Calibri" w:hAnsi="Verdana" w:cs="Arial"/>
          <w:szCs w:val="24"/>
          <w:lang w:val="es-MX" w:eastAsia="en-US"/>
        </w:rPr>
        <w:t>,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8A4687C" w14:textId="58F8A736" w:rsidR="003C58C1" w:rsidRPr="00192610" w:rsidRDefault="00682980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Para el presente ejercicio fiscal, le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fue asignado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presupuesto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</w:t>
      </w:r>
      <w:r>
        <w:rPr>
          <w:rFonts w:ascii="Verdana" w:eastAsia="Calibri" w:hAnsi="Verdana" w:cs="Arial"/>
          <w:b/>
          <w:szCs w:val="24"/>
          <w:lang w:val="es-MX" w:eastAsia="en-US"/>
        </w:rPr>
        <w:t>Q250,33,741.00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 xml:space="preserve">modificándose por la cantidad de </w:t>
      </w:r>
      <w:r w:rsidRPr="00682980">
        <w:rPr>
          <w:rFonts w:ascii="Verdana" w:eastAsia="Calibri" w:hAnsi="Verdana" w:cs="Arial"/>
          <w:b/>
          <w:szCs w:val="24"/>
          <w:lang w:val="es-MX" w:eastAsia="en-US"/>
        </w:rPr>
        <w:t>-</w:t>
      </w:r>
      <w:r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Pr="00682980">
        <w:rPr>
          <w:rFonts w:ascii="Verdana" w:eastAsia="Calibri" w:hAnsi="Verdana" w:cs="Arial"/>
          <w:b/>
          <w:szCs w:val="24"/>
          <w:lang w:val="es-MX" w:eastAsia="en-US"/>
        </w:rPr>
        <w:t>23.2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 por lo que, desciende a un 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presupuesto vigente de </w:t>
      </w:r>
      <w:r>
        <w:rPr>
          <w:rFonts w:ascii="Verdana" w:eastAsia="Calibri" w:hAnsi="Verdana" w:cs="Arial"/>
          <w:b/>
          <w:szCs w:val="24"/>
          <w:lang w:val="es-MX" w:eastAsia="en-US"/>
        </w:rPr>
        <w:t>Q227.0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84850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del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cual</w:t>
      </w:r>
      <w:r w:rsidR="00192610">
        <w:rPr>
          <w:rFonts w:ascii="Verdana" w:eastAsia="Calibri" w:hAnsi="Verdana" w:cs="Arial"/>
          <w:szCs w:val="24"/>
          <w:lang w:val="es-MX" w:eastAsia="en-US"/>
        </w:rPr>
        <w:t>,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al cierre de </w:t>
      </w:r>
      <w:r>
        <w:rPr>
          <w:rFonts w:ascii="Verdana" w:eastAsia="Calibri" w:hAnsi="Verdana" w:cs="Arial"/>
          <w:szCs w:val="24"/>
          <w:lang w:val="es-MX" w:eastAsia="en-US"/>
        </w:rPr>
        <w:t>enero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se reportó una ejecución de gastos</w:t>
      </w:r>
      <w:r w:rsidR="00192610">
        <w:rPr>
          <w:rFonts w:ascii="Verdana" w:eastAsia="Calibri" w:hAnsi="Verdana" w:cs="Arial"/>
          <w:szCs w:val="24"/>
          <w:lang w:val="es-MX" w:eastAsia="en-US"/>
        </w:rPr>
        <w:t xml:space="preserve"> de funcionamiento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>Q</w:t>
      </w:r>
      <w:r>
        <w:rPr>
          <w:rFonts w:ascii="Verdana" w:eastAsia="Calibri" w:hAnsi="Verdana" w:cs="Arial"/>
          <w:b/>
          <w:szCs w:val="24"/>
          <w:lang w:val="es-MX" w:eastAsia="en-US"/>
        </w:rPr>
        <w:t>3.4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 equivalente al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20B54">
        <w:rPr>
          <w:rFonts w:ascii="Verdana" w:eastAsia="Calibri" w:hAnsi="Verdana" w:cs="Arial"/>
          <w:b/>
          <w:szCs w:val="24"/>
          <w:lang w:val="es-MX" w:eastAsia="en-US"/>
        </w:rPr>
        <w:t>1.53</w:t>
      </w:r>
      <w:r w:rsidR="00192610">
        <w:rPr>
          <w:rFonts w:ascii="Verdana" w:eastAsia="Calibri" w:hAnsi="Verdana" w:cs="Arial"/>
          <w:b/>
          <w:szCs w:val="24"/>
          <w:lang w:val="es-MX" w:eastAsia="en-US"/>
        </w:rPr>
        <w:t xml:space="preserve">%. </w:t>
      </w:r>
    </w:p>
    <w:p w14:paraId="76491EFB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6E367D64" w14:textId="675D8CCC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AEF5A16" w14:textId="6CD8038E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Ejecución Presupuestaria</w:t>
      </w:r>
    </w:p>
    <w:p w14:paraId="1D80954D" w14:textId="59066502" w:rsidR="003C58C1" w:rsidRPr="0010018F" w:rsidRDefault="001B277B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inline distT="0" distB="0" distL="0" distR="0" wp14:anchorId="54941BA1" wp14:editId="1F21D952">
            <wp:extent cx="4381500" cy="2619375"/>
            <wp:effectExtent l="0" t="0" r="0" b="9525"/>
            <wp:docPr id="1308087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93" cy="2627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28AB7" w14:textId="1138B207" w:rsidR="003C58C1" w:rsidRDefault="006C28B9" w:rsidP="006C28B9">
      <w:pPr>
        <w:ind w:left="708" w:firstLine="708"/>
        <w:rPr>
          <w:rFonts w:ascii="Verdana" w:hAnsi="Verdana" w:cs="Arial"/>
          <w:sz w:val="16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</w:t>
      </w:r>
      <w:r w:rsidR="003C58C1" w:rsidRPr="006014DF">
        <w:rPr>
          <w:rFonts w:ascii="Verdana" w:hAnsi="Verdana" w:cs="Arial"/>
          <w:b/>
          <w:sz w:val="14"/>
          <w:lang w:val="es-MX"/>
        </w:rPr>
        <w:t>Fuente:</w:t>
      </w:r>
      <w:r w:rsidR="003C58C1" w:rsidRPr="006014DF">
        <w:rPr>
          <w:rFonts w:ascii="Verdana" w:hAnsi="Verdana" w:cs="Arial"/>
          <w:sz w:val="14"/>
          <w:lang w:val="es-MX"/>
        </w:rPr>
        <w:t xml:space="preserve"> Sis</w:t>
      </w:r>
      <w:r w:rsidR="003D10AA" w:rsidRPr="006014DF">
        <w:rPr>
          <w:rFonts w:ascii="Verdana" w:hAnsi="Verdana" w:cs="Arial"/>
          <w:sz w:val="14"/>
          <w:lang w:val="es-MX"/>
        </w:rPr>
        <w:t>tema de Contabilidad Integrada</w:t>
      </w:r>
      <w:r w:rsidR="00C141C8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02</w:t>
      </w:r>
      <w:r w:rsidRPr="006014DF">
        <w:rPr>
          <w:rFonts w:ascii="Verdana" w:hAnsi="Verdana" w:cs="Arial"/>
          <w:sz w:val="14"/>
          <w:lang w:val="es-MX"/>
        </w:rPr>
        <w:t>/202</w:t>
      </w:r>
      <w:r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9:43</w:t>
      </w:r>
    </w:p>
    <w:p w14:paraId="12097ABE" w14:textId="64975C1C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Gráfica No. 2</w:t>
      </w:r>
    </w:p>
    <w:p w14:paraId="1DB58AE5" w14:textId="7B9A5F63" w:rsidR="0029077D" w:rsidRPr="0010018F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06B67981" w14:textId="04064644" w:rsidR="006C28B9" w:rsidRDefault="005A37C3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sz w:val="14"/>
          <w:lang w:val="es-MX"/>
        </w:rPr>
        <w:drawing>
          <wp:anchor distT="0" distB="0" distL="114300" distR="114300" simplePos="0" relativeHeight="251658240" behindDoc="1" locked="0" layoutInCell="1" allowOverlap="1" wp14:anchorId="423D2AB7" wp14:editId="3683602B">
            <wp:simplePos x="0" y="0"/>
            <wp:positionH relativeFrom="column">
              <wp:posOffset>-527685</wp:posOffset>
            </wp:positionH>
            <wp:positionV relativeFrom="paragraph">
              <wp:posOffset>367665</wp:posOffset>
            </wp:positionV>
            <wp:extent cx="6829425" cy="4019550"/>
            <wp:effectExtent l="0" t="0" r="9525" b="0"/>
            <wp:wrapTight wrapText="bothSides">
              <wp:wrapPolygon edited="0">
                <wp:start x="0" y="0"/>
                <wp:lineTo x="0" y="21498"/>
                <wp:lineTo x="21570" y="21498"/>
                <wp:lineTo x="21570" y="0"/>
                <wp:lineTo x="0" y="0"/>
              </wp:wrapPolygon>
            </wp:wrapTight>
            <wp:docPr id="4563330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8B9">
        <w:rPr>
          <w:rFonts w:ascii="Verdana" w:hAnsi="Verdana" w:cs="Arial"/>
          <w:b/>
          <w:lang w:val="es-MX"/>
        </w:rPr>
        <w:t>División del presupuesto por grupo de gasto</w:t>
      </w:r>
    </w:p>
    <w:p w14:paraId="0C827256" w14:textId="7D60C22D" w:rsidR="006C28B9" w:rsidRDefault="006C28B9" w:rsidP="00A51C2E">
      <w:pPr>
        <w:rPr>
          <w:rFonts w:ascii="Verdana" w:hAnsi="Verdana" w:cs="Arial"/>
          <w:b/>
          <w:sz w:val="14"/>
          <w:lang w:val="es-MX"/>
        </w:rPr>
      </w:pPr>
    </w:p>
    <w:p w14:paraId="306C8A5D" w14:textId="01743905" w:rsidR="00884387" w:rsidRPr="0010018F" w:rsidRDefault="00A278F5" w:rsidP="00A51C2E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</w:t>
      </w:r>
      <w:r w:rsidR="006C28B9">
        <w:rPr>
          <w:rFonts w:ascii="Verdana" w:hAnsi="Verdana" w:cs="Arial"/>
          <w:sz w:val="14"/>
          <w:lang w:val="es-MX"/>
        </w:rPr>
        <w:t>(</w:t>
      </w:r>
      <w:proofErr w:type="spellStart"/>
      <w:r w:rsidR="006C28B9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6C28B9" w:rsidRPr="006014DF">
        <w:rPr>
          <w:rFonts w:ascii="Verdana" w:hAnsi="Verdana" w:cs="Arial"/>
          <w:sz w:val="14"/>
          <w:lang w:val="es-MX"/>
        </w:rPr>
        <w:t xml:space="preserve">) </w:t>
      </w:r>
      <w:r w:rsidR="006C28B9">
        <w:rPr>
          <w:rFonts w:ascii="Verdana" w:hAnsi="Verdana" w:cs="Arial"/>
          <w:sz w:val="14"/>
          <w:lang w:val="es-MX"/>
        </w:rPr>
        <w:t>04</w:t>
      </w:r>
      <w:r w:rsidR="006C28B9" w:rsidRPr="006014DF">
        <w:rPr>
          <w:rFonts w:ascii="Verdana" w:hAnsi="Verdana" w:cs="Arial"/>
          <w:sz w:val="14"/>
          <w:lang w:val="es-MX"/>
        </w:rPr>
        <w:t>/</w:t>
      </w:r>
      <w:r w:rsidR="006C28B9">
        <w:rPr>
          <w:rFonts w:ascii="Verdana" w:hAnsi="Verdana" w:cs="Arial"/>
          <w:sz w:val="14"/>
          <w:lang w:val="es-MX"/>
        </w:rPr>
        <w:t>02</w:t>
      </w:r>
      <w:r w:rsidR="006C28B9" w:rsidRPr="006014DF">
        <w:rPr>
          <w:rFonts w:ascii="Verdana" w:hAnsi="Verdana" w:cs="Arial"/>
          <w:sz w:val="14"/>
          <w:lang w:val="es-MX"/>
        </w:rPr>
        <w:t>/202</w:t>
      </w:r>
      <w:r w:rsidR="006C28B9">
        <w:rPr>
          <w:rFonts w:ascii="Verdana" w:hAnsi="Verdana" w:cs="Arial"/>
          <w:sz w:val="14"/>
          <w:lang w:val="es-MX"/>
        </w:rPr>
        <w:t>5</w:t>
      </w:r>
      <w:r w:rsidR="006C28B9" w:rsidRPr="006014DF">
        <w:rPr>
          <w:rFonts w:ascii="Verdana" w:hAnsi="Verdana" w:cs="Arial"/>
          <w:sz w:val="14"/>
          <w:lang w:val="es-MX"/>
        </w:rPr>
        <w:t xml:space="preserve"> </w:t>
      </w:r>
      <w:r w:rsidR="006C28B9">
        <w:rPr>
          <w:rFonts w:ascii="Verdana" w:hAnsi="Verdana" w:cs="Arial"/>
          <w:sz w:val="14"/>
          <w:lang w:val="es-MX"/>
        </w:rPr>
        <w:t>9:43</w:t>
      </w:r>
    </w:p>
    <w:p w14:paraId="08F30045" w14:textId="77777777" w:rsidR="00884387" w:rsidRPr="0010018F" w:rsidRDefault="00884387" w:rsidP="003C58C1">
      <w:pPr>
        <w:jc w:val="center"/>
        <w:rPr>
          <w:rFonts w:ascii="Verdana" w:hAnsi="Verdana" w:cs="Arial"/>
          <w:lang w:val="es-MX"/>
        </w:rPr>
      </w:pPr>
    </w:p>
    <w:p w14:paraId="79AF2DF9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652A73D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2FFE9C59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027D40C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302A48D0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3EA38E99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249C644A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50898558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51327113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12985EF5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095B216E" w14:textId="77777777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7ECF702F" w14:textId="77777777" w:rsidR="00FF00ED" w:rsidRPr="00732114" w:rsidRDefault="00FF00ED" w:rsidP="00FF00ED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>y tipo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únicamente pago de nómina y de servicios.</w:t>
      </w:r>
    </w:p>
    <w:p w14:paraId="3249555D" w14:textId="7273FF14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1</w:t>
      </w:r>
    </w:p>
    <w:p w14:paraId="762317AB" w14:textId="7D0BB7B6" w:rsidR="00A0775C" w:rsidRPr="0010018F" w:rsidRDefault="00A0775C" w:rsidP="00A0775C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28494069" w14:textId="4649A057" w:rsidR="003C58C1" w:rsidRDefault="00880247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Pr="00732114">
        <w:rPr>
          <w:rFonts w:ascii="Verdana" w:hAnsi="Verdana" w:cs="Arial"/>
          <w:b/>
          <w:lang w:val="es-MX"/>
        </w:rPr>
        <w:t>resupuesto</w:t>
      </w:r>
      <w:r w:rsidR="005C6CD0">
        <w:rPr>
          <w:rFonts w:ascii="Verdana" w:hAnsi="Verdana" w:cs="Arial"/>
          <w:b/>
          <w:lang w:val="es-MX"/>
        </w:rPr>
        <w:t xml:space="preserve"> por dependencias</w:t>
      </w:r>
      <w:r w:rsidR="004D6840" w:rsidRPr="0010018F">
        <w:rPr>
          <w:rFonts w:ascii="Verdana" w:hAnsi="Verdana" w:cs="Arial"/>
          <w:b/>
          <w:lang w:val="es-MX"/>
        </w:rPr>
        <w:t xml:space="preserve"> y</w:t>
      </w:r>
      <w:r w:rsidR="003C58C1" w:rsidRPr="0010018F">
        <w:rPr>
          <w:rFonts w:ascii="Verdana" w:hAnsi="Verdana" w:cs="Arial"/>
          <w:b/>
          <w:lang w:val="es-MX"/>
        </w:rPr>
        <w:t xml:space="preserve"> grupo de gasto</w:t>
      </w:r>
    </w:p>
    <w:p w14:paraId="05B2E00E" w14:textId="09E01B84" w:rsidR="00225485" w:rsidRPr="0010018F" w:rsidRDefault="005A37C3" w:rsidP="003C58C1">
      <w:pPr>
        <w:jc w:val="center"/>
        <w:rPr>
          <w:rFonts w:ascii="Verdana" w:hAnsi="Verdana" w:cs="Arial"/>
          <w:b/>
          <w:lang w:val="es-MX"/>
        </w:rPr>
      </w:pPr>
      <w:r w:rsidRPr="005A37C3">
        <w:drawing>
          <wp:inline distT="0" distB="0" distL="0" distR="0" wp14:anchorId="10D6B3FB" wp14:editId="28DF294E">
            <wp:extent cx="6059805" cy="6134100"/>
            <wp:effectExtent l="19050" t="19050" r="17145" b="19050"/>
            <wp:docPr id="64753956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134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B8A45B" w14:textId="690D33DA" w:rsidR="008147DB" w:rsidRDefault="008147DB" w:rsidP="003C58C1">
      <w:pPr>
        <w:jc w:val="center"/>
        <w:rPr>
          <w:rFonts w:ascii="Verdana" w:hAnsi="Verdana" w:cs="Arial"/>
          <w:b/>
          <w:sz w:val="16"/>
          <w:lang w:val="es-MX"/>
        </w:rPr>
      </w:pPr>
    </w:p>
    <w:p w14:paraId="13D96642" w14:textId="7ED8DA84" w:rsidR="00AE1BA2" w:rsidRPr="0010018F" w:rsidRDefault="00A278F5" w:rsidP="00A51C2E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</w:t>
      </w:r>
      <w:r w:rsidR="00DC1BED">
        <w:rPr>
          <w:rFonts w:ascii="Verdana" w:hAnsi="Verdana" w:cs="Arial"/>
          <w:sz w:val="14"/>
          <w:lang w:val="es-MX"/>
        </w:rPr>
        <w:t>(</w:t>
      </w:r>
      <w:proofErr w:type="spellStart"/>
      <w:r w:rsidR="00DC1BED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DC1BED" w:rsidRPr="006014DF">
        <w:rPr>
          <w:rFonts w:ascii="Verdana" w:hAnsi="Verdana" w:cs="Arial"/>
          <w:sz w:val="14"/>
          <w:lang w:val="es-MX"/>
        </w:rPr>
        <w:t xml:space="preserve">) </w:t>
      </w:r>
      <w:r w:rsidR="00DC1BED">
        <w:rPr>
          <w:rFonts w:ascii="Verdana" w:hAnsi="Verdana" w:cs="Arial"/>
          <w:sz w:val="14"/>
          <w:lang w:val="es-MX"/>
        </w:rPr>
        <w:t>04</w:t>
      </w:r>
      <w:r w:rsidR="00DC1BED" w:rsidRPr="006014DF">
        <w:rPr>
          <w:rFonts w:ascii="Verdana" w:hAnsi="Verdana" w:cs="Arial"/>
          <w:sz w:val="14"/>
          <w:lang w:val="es-MX"/>
        </w:rPr>
        <w:t>/</w:t>
      </w:r>
      <w:r w:rsidR="00DC1BED">
        <w:rPr>
          <w:rFonts w:ascii="Verdana" w:hAnsi="Verdana" w:cs="Arial"/>
          <w:sz w:val="14"/>
          <w:lang w:val="es-MX"/>
        </w:rPr>
        <w:t>02</w:t>
      </w:r>
      <w:r w:rsidR="00DC1BED" w:rsidRPr="006014DF">
        <w:rPr>
          <w:rFonts w:ascii="Verdana" w:hAnsi="Verdana" w:cs="Arial"/>
          <w:sz w:val="14"/>
          <w:lang w:val="es-MX"/>
        </w:rPr>
        <w:t>/202</w:t>
      </w:r>
      <w:r w:rsidR="00DC1BED">
        <w:rPr>
          <w:rFonts w:ascii="Verdana" w:hAnsi="Verdana" w:cs="Arial"/>
          <w:sz w:val="14"/>
          <w:lang w:val="es-MX"/>
        </w:rPr>
        <w:t>5</w:t>
      </w:r>
      <w:r w:rsidR="00DC1BED" w:rsidRPr="006014DF">
        <w:rPr>
          <w:rFonts w:ascii="Verdana" w:hAnsi="Verdana" w:cs="Arial"/>
          <w:sz w:val="14"/>
          <w:lang w:val="es-MX"/>
        </w:rPr>
        <w:t xml:space="preserve"> </w:t>
      </w:r>
      <w:r w:rsidR="00DC1BED">
        <w:rPr>
          <w:rFonts w:ascii="Verdana" w:hAnsi="Verdana" w:cs="Arial"/>
          <w:sz w:val="14"/>
          <w:lang w:val="es-MX"/>
        </w:rPr>
        <w:t>9:43</w:t>
      </w:r>
    </w:p>
    <w:p w14:paraId="5C598A23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1F0C48EB" w14:textId="77777777" w:rsidR="00C63679" w:rsidRPr="00EB602F" w:rsidRDefault="00C63679" w:rsidP="00C63679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t xml:space="preserve">El cuadro dos detalla el comportamiento de las cuotas financieras </w:t>
      </w:r>
      <w:r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las distintas fuentes de financiamiento.</w:t>
      </w:r>
    </w:p>
    <w:p w14:paraId="20645A51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239BC046" w14:textId="6A661757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2</w:t>
      </w:r>
    </w:p>
    <w:p w14:paraId="1B09E94D" w14:textId="6C508250" w:rsidR="00EC5230" w:rsidRPr="0010018F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14B0A228" w:rsidR="005E467A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Informe de Ejecución de Cuota Financiera</w:t>
      </w:r>
    </w:p>
    <w:p w14:paraId="57499ED0" w14:textId="77777777" w:rsidR="00C63679" w:rsidRPr="0010018F" w:rsidRDefault="00C63679" w:rsidP="00EC5230">
      <w:pPr>
        <w:jc w:val="center"/>
        <w:rPr>
          <w:rFonts w:ascii="Verdana" w:hAnsi="Verdana" w:cs="Arial"/>
          <w:b/>
          <w:lang w:val="es-MX"/>
        </w:rPr>
      </w:pPr>
    </w:p>
    <w:p w14:paraId="6211E536" w14:textId="5824EEF5" w:rsidR="0063380F" w:rsidRPr="0010018F" w:rsidRDefault="00935ECE" w:rsidP="003C58C1">
      <w:pPr>
        <w:rPr>
          <w:rFonts w:ascii="Verdana" w:hAnsi="Verdana"/>
          <w:noProof/>
          <w:lang w:eastAsia="es-GT"/>
        </w:rPr>
      </w:pPr>
      <w:r w:rsidRPr="00935ECE">
        <w:rPr>
          <w:noProof/>
        </w:rPr>
        <w:drawing>
          <wp:inline distT="0" distB="0" distL="0" distR="0" wp14:anchorId="64DF8DD1" wp14:editId="4F5A5763">
            <wp:extent cx="5612130" cy="2251174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C2B9C" w14:textId="77777777" w:rsidR="00935ECE" w:rsidRPr="002204FB" w:rsidRDefault="008F3EFC" w:rsidP="00935ECE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</w:t>
      </w:r>
      <w:r>
        <w:rPr>
          <w:rFonts w:ascii="Verdana" w:hAnsi="Verdana" w:cs="Arial"/>
          <w:sz w:val="14"/>
          <w:lang w:val="es-MX"/>
        </w:rPr>
        <w:t xml:space="preserve"> (</w:t>
      </w:r>
      <w:proofErr w:type="spellStart"/>
      <w:r>
        <w:rPr>
          <w:rFonts w:ascii="Verdana" w:hAnsi="Verdana" w:cs="Arial"/>
          <w:sz w:val="14"/>
          <w:lang w:val="es-MX"/>
        </w:rPr>
        <w:t>Sicoin</w:t>
      </w:r>
      <w:proofErr w:type="spellEnd"/>
      <w:r>
        <w:rPr>
          <w:rFonts w:ascii="Verdana" w:hAnsi="Verdana" w:cs="Arial"/>
          <w:sz w:val="14"/>
          <w:lang w:val="es-MX"/>
        </w:rPr>
        <w:t>)</w:t>
      </w:r>
      <w:r w:rsidR="00935ECE">
        <w:rPr>
          <w:rFonts w:ascii="Verdana" w:hAnsi="Verdana" w:cs="Arial"/>
          <w:sz w:val="14"/>
          <w:lang w:val="es-MX"/>
        </w:rPr>
        <w:t xml:space="preserve"> 04</w:t>
      </w:r>
      <w:r w:rsidR="00935ECE" w:rsidRPr="006014DF">
        <w:rPr>
          <w:rFonts w:ascii="Verdana" w:hAnsi="Verdana" w:cs="Arial"/>
          <w:sz w:val="14"/>
          <w:lang w:val="es-MX"/>
        </w:rPr>
        <w:t>/</w:t>
      </w:r>
      <w:r w:rsidR="00935ECE">
        <w:rPr>
          <w:rFonts w:ascii="Verdana" w:hAnsi="Verdana" w:cs="Arial"/>
          <w:sz w:val="14"/>
          <w:lang w:val="es-MX"/>
        </w:rPr>
        <w:t>02</w:t>
      </w:r>
      <w:r w:rsidR="00935ECE" w:rsidRPr="006014DF">
        <w:rPr>
          <w:rFonts w:ascii="Verdana" w:hAnsi="Verdana" w:cs="Arial"/>
          <w:sz w:val="14"/>
          <w:lang w:val="es-MX"/>
        </w:rPr>
        <w:t>/202</w:t>
      </w:r>
      <w:r w:rsidR="00935ECE">
        <w:rPr>
          <w:rFonts w:ascii="Verdana" w:hAnsi="Verdana" w:cs="Arial"/>
          <w:sz w:val="14"/>
          <w:lang w:val="es-MX"/>
        </w:rPr>
        <w:t>5</w:t>
      </w:r>
      <w:r w:rsidR="00935ECE" w:rsidRPr="006014DF">
        <w:rPr>
          <w:rFonts w:ascii="Verdana" w:hAnsi="Verdana" w:cs="Arial"/>
          <w:sz w:val="14"/>
          <w:lang w:val="es-MX"/>
        </w:rPr>
        <w:t xml:space="preserve"> </w:t>
      </w:r>
      <w:r w:rsidR="00935ECE">
        <w:rPr>
          <w:rFonts w:ascii="Verdana" w:hAnsi="Verdana" w:cs="Arial"/>
          <w:sz w:val="14"/>
          <w:lang w:val="es-MX"/>
        </w:rPr>
        <w:t>13:00</w:t>
      </w:r>
    </w:p>
    <w:p w14:paraId="3601D59E" w14:textId="77777777" w:rsidR="00935ECE" w:rsidRPr="00D806CC" w:rsidRDefault="00935ECE" w:rsidP="00935ECE">
      <w:pPr>
        <w:rPr>
          <w:rFonts w:ascii="Verdana" w:hAnsi="Verdana" w:cs="Arial"/>
          <w:sz w:val="16"/>
        </w:rPr>
      </w:pPr>
    </w:p>
    <w:p w14:paraId="53590958" w14:textId="72FBF7BE" w:rsidR="003C58C1" w:rsidRPr="0010018F" w:rsidRDefault="003C58C1" w:rsidP="00A51C2E">
      <w:pPr>
        <w:rPr>
          <w:rFonts w:ascii="Verdana" w:hAnsi="Verdana" w:cs="Arial"/>
          <w:b/>
          <w:lang w:val="es-MX"/>
        </w:rPr>
      </w:pPr>
    </w:p>
    <w:p w14:paraId="19C85F38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4F8E1A0C" w14:textId="77777777" w:rsidR="003C58C1" w:rsidRPr="0010018F" w:rsidRDefault="003C58C1" w:rsidP="003C58C1">
      <w:pPr>
        <w:rPr>
          <w:rFonts w:ascii="Verdana" w:hAnsi="Verdana"/>
        </w:rPr>
      </w:pPr>
    </w:p>
    <w:p w14:paraId="0C99738D" w14:textId="77777777" w:rsidR="003C58C1" w:rsidRPr="0010018F" w:rsidRDefault="003C58C1" w:rsidP="003C58C1">
      <w:pPr>
        <w:rPr>
          <w:rFonts w:ascii="Verdana" w:hAnsi="Verdana"/>
        </w:rPr>
      </w:pPr>
    </w:p>
    <w:p w14:paraId="75F29254" w14:textId="77777777" w:rsidR="003C58C1" w:rsidRPr="0010018F" w:rsidRDefault="003C58C1" w:rsidP="003C58C1">
      <w:pPr>
        <w:rPr>
          <w:rFonts w:ascii="Verdana" w:hAnsi="Verdana"/>
        </w:rPr>
      </w:pPr>
    </w:p>
    <w:p w14:paraId="75E4A3DD" w14:textId="77777777" w:rsidR="003C58C1" w:rsidRPr="0010018F" w:rsidRDefault="003C58C1" w:rsidP="003C58C1">
      <w:pPr>
        <w:rPr>
          <w:rFonts w:ascii="Verdana" w:hAnsi="Verdana"/>
        </w:rPr>
      </w:pPr>
    </w:p>
    <w:p w14:paraId="49D6D4B2" w14:textId="77777777" w:rsidR="003C58C1" w:rsidRPr="0010018F" w:rsidRDefault="003C58C1" w:rsidP="003C58C1">
      <w:pPr>
        <w:rPr>
          <w:rFonts w:ascii="Verdana" w:hAnsi="Verdana"/>
        </w:rPr>
      </w:pPr>
    </w:p>
    <w:p w14:paraId="51AA9178" w14:textId="77777777" w:rsidR="003C58C1" w:rsidRPr="0010018F" w:rsidRDefault="003C58C1" w:rsidP="003C58C1">
      <w:pPr>
        <w:rPr>
          <w:rFonts w:ascii="Verdana" w:hAnsi="Verdana"/>
        </w:rPr>
      </w:pPr>
    </w:p>
    <w:p w14:paraId="179B9C83" w14:textId="77777777" w:rsidR="003C58C1" w:rsidRPr="0010018F" w:rsidRDefault="003C58C1" w:rsidP="003C58C1">
      <w:pPr>
        <w:rPr>
          <w:rFonts w:ascii="Verdana" w:hAnsi="Verdana"/>
        </w:rPr>
      </w:pPr>
    </w:p>
    <w:p w14:paraId="47D000FE" w14:textId="77777777" w:rsidR="003C58C1" w:rsidRPr="0010018F" w:rsidRDefault="003C58C1" w:rsidP="003C58C1">
      <w:pPr>
        <w:rPr>
          <w:rFonts w:ascii="Verdana" w:hAnsi="Verdana"/>
        </w:rPr>
      </w:pPr>
    </w:p>
    <w:p w14:paraId="11C2DAFB" w14:textId="77777777" w:rsidR="003C58C1" w:rsidRPr="0010018F" w:rsidRDefault="003C58C1" w:rsidP="003C58C1">
      <w:pPr>
        <w:rPr>
          <w:rFonts w:ascii="Verdana" w:hAnsi="Verdana"/>
        </w:rPr>
      </w:pPr>
    </w:p>
    <w:p w14:paraId="7B578654" w14:textId="77777777" w:rsidR="003C58C1" w:rsidRPr="0010018F" w:rsidRDefault="003C58C1" w:rsidP="003C58C1">
      <w:pPr>
        <w:rPr>
          <w:rFonts w:ascii="Verdana" w:hAnsi="Verdana"/>
        </w:rPr>
      </w:pPr>
      <w:r w:rsidRPr="0010018F">
        <w:rPr>
          <w:rFonts w:ascii="Verdana" w:hAnsi="Verdana"/>
        </w:rPr>
        <w:t xml:space="preserve"> </w:t>
      </w:r>
    </w:p>
    <w:p w14:paraId="0CA7C413" w14:textId="77777777" w:rsidR="00EB2464" w:rsidRPr="0010018F" w:rsidRDefault="00EB2464" w:rsidP="1A98FAC5">
      <w:pPr>
        <w:rPr>
          <w:rFonts w:ascii="Verdana" w:hAnsi="Verdana" w:cs="Times New Roman"/>
        </w:rPr>
      </w:pPr>
    </w:p>
    <w:sectPr w:rsidR="00EB2464" w:rsidRPr="0010018F" w:rsidSect="00423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EDA7" w14:textId="77777777" w:rsidR="00475580" w:rsidRDefault="00475580" w:rsidP="00950217">
      <w:r>
        <w:separator/>
      </w:r>
    </w:p>
  </w:endnote>
  <w:endnote w:type="continuationSeparator" w:id="0">
    <w:p w14:paraId="46D8CB27" w14:textId="77777777" w:rsidR="00475580" w:rsidRDefault="0047558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A191" w14:textId="77777777" w:rsidR="00475580" w:rsidRDefault="00475580" w:rsidP="00950217">
      <w:r>
        <w:separator/>
      </w:r>
    </w:p>
  </w:footnote>
  <w:footnote w:type="continuationSeparator" w:id="0">
    <w:p w14:paraId="7F8EA160" w14:textId="77777777" w:rsidR="00475580" w:rsidRDefault="0047558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5455"/>
    <w:rsid w:val="00067FD4"/>
    <w:rsid w:val="000710D3"/>
    <w:rsid w:val="0008228E"/>
    <w:rsid w:val="00087890"/>
    <w:rsid w:val="00095311"/>
    <w:rsid w:val="000A36F1"/>
    <w:rsid w:val="000D76D9"/>
    <w:rsid w:val="0010018F"/>
    <w:rsid w:val="00132BE5"/>
    <w:rsid w:val="00172F0D"/>
    <w:rsid w:val="00183A5B"/>
    <w:rsid w:val="00192610"/>
    <w:rsid w:val="001B277B"/>
    <w:rsid w:val="001C5C06"/>
    <w:rsid w:val="002234DC"/>
    <w:rsid w:val="00225485"/>
    <w:rsid w:val="00232AE0"/>
    <w:rsid w:val="00233659"/>
    <w:rsid w:val="0023402E"/>
    <w:rsid w:val="00241FB3"/>
    <w:rsid w:val="002669D7"/>
    <w:rsid w:val="00283696"/>
    <w:rsid w:val="00283BA1"/>
    <w:rsid w:val="0029077D"/>
    <w:rsid w:val="002C2478"/>
    <w:rsid w:val="002C7F50"/>
    <w:rsid w:val="002D5CD2"/>
    <w:rsid w:val="003076C0"/>
    <w:rsid w:val="00323D37"/>
    <w:rsid w:val="00330FD9"/>
    <w:rsid w:val="00355238"/>
    <w:rsid w:val="00377D36"/>
    <w:rsid w:val="003B0020"/>
    <w:rsid w:val="003C58C1"/>
    <w:rsid w:val="003D10AA"/>
    <w:rsid w:val="003E373F"/>
    <w:rsid w:val="0042301A"/>
    <w:rsid w:val="00451D63"/>
    <w:rsid w:val="004601D8"/>
    <w:rsid w:val="00475580"/>
    <w:rsid w:val="004D6840"/>
    <w:rsid w:val="00507D19"/>
    <w:rsid w:val="005423E5"/>
    <w:rsid w:val="005755DA"/>
    <w:rsid w:val="00595ADF"/>
    <w:rsid w:val="005A1A74"/>
    <w:rsid w:val="005A37C3"/>
    <w:rsid w:val="005A3F85"/>
    <w:rsid w:val="005C4EEB"/>
    <w:rsid w:val="005C6CD0"/>
    <w:rsid w:val="005E453A"/>
    <w:rsid w:val="005E467A"/>
    <w:rsid w:val="006014DF"/>
    <w:rsid w:val="0063380F"/>
    <w:rsid w:val="00682980"/>
    <w:rsid w:val="006B6611"/>
    <w:rsid w:val="006C28B9"/>
    <w:rsid w:val="006C630D"/>
    <w:rsid w:val="006E1C78"/>
    <w:rsid w:val="006E32FB"/>
    <w:rsid w:val="00733A93"/>
    <w:rsid w:val="0074326E"/>
    <w:rsid w:val="007C3871"/>
    <w:rsid w:val="007E7728"/>
    <w:rsid w:val="007F0D20"/>
    <w:rsid w:val="008147DB"/>
    <w:rsid w:val="00826473"/>
    <w:rsid w:val="00835ABF"/>
    <w:rsid w:val="0084765B"/>
    <w:rsid w:val="00870270"/>
    <w:rsid w:val="008719D3"/>
    <w:rsid w:val="00880247"/>
    <w:rsid w:val="00884387"/>
    <w:rsid w:val="00891D77"/>
    <w:rsid w:val="008973EC"/>
    <w:rsid w:val="008B23D2"/>
    <w:rsid w:val="008E47E2"/>
    <w:rsid w:val="008F3EFC"/>
    <w:rsid w:val="00935ECE"/>
    <w:rsid w:val="0094053F"/>
    <w:rsid w:val="009457A0"/>
    <w:rsid w:val="00950217"/>
    <w:rsid w:val="009604D8"/>
    <w:rsid w:val="0097181F"/>
    <w:rsid w:val="009A4973"/>
    <w:rsid w:val="009B2559"/>
    <w:rsid w:val="009B7CF9"/>
    <w:rsid w:val="00A05E3C"/>
    <w:rsid w:val="00A07044"/>
    <w:rsid w:val="00A0775C"/>
    <w:rsid w:val="00A278F5"/>
    <w:rsid w:val="00A445F8"/>
    <w:rsid w:val="00A51C2E"/>
    <w:rsid w:val="00A76169"/>
    <w:rsid w:val="00A96E21"/>
    <w:rsid w:val="00AE1BA2"/>
    <w:rsid w:val="00AE291C"/>
    <w:rsid w:val="00AE788E"/>
    <w:rsid w:val="00B64464"/>
    <w:rsid w:val="00B65E65"/>
    <w:rsid w:val="00B71889"/>
    <w:rsid w:val="00B97FD3"/>
    <w:rsid w:val="00BA014C"/>
    <w:rsid w:val="00BA1CBE"/>
    <w:rsid w:val="00BB35A3"/>
    <w:rsid w:val="00BD216F"/>
    <w:rsid w:val="00BE202A"/>
    <w:rsid w:val="00BE4C5C"/>
    <w:rsid w:val="00BE691F"/>
    <w:rsid w:val="00BE6DE5"/>
    <w:rsid w:val="00C07E0B"/>
    <w:rsid w:val="00C07E36"/>
    <w:rsid w:val="00C141C8"/>
    <w:rsid w:val="00C15CA9"/>
    <w:rsid w:val="00C414FA"/>
    <w:rsid w:val="00C42C5A"/>
    <w:rsid w:val="00C63679"/>
    <w:rsid w:val="00C77100"/>
    <w:rsid w:val="00C84850"/>
    <w:rsid w:val="00CA246F"/>
    <w:rsid w:val="00CB079E"/>
    <w:rsid w:val="00CD04A9"/>
    <w:rsid w:val="00CF72F1"/>
    <w:rsid w:val="00D020F9"/>
    <w:rsid w:val="00D0390A"/>
    <w:rsid w:val="00D20B54"/>
    <w:rsid w:val="00D210B2"/>
    <w:rsid w:val="00D55C6F"/>
    <w:rsid w:val="00D919C7"/>
    <w:rsid w:val="00DA4990"/>
    <w:rsid w:val="00DC1BED"/>
    <w:rsid w:val="00DC38C1"/>
    <w:rsid w:val="00DC7FC9"/>
    <w:rsid w:val="00E301A8"/>
    <w:rsid w:val="00E377DA"/>
    <w:rsid w:val="00E44F25"/>
    <w:rsid w:val="00E51136"/>
    <w:rsid w:val="00E52979"/>
    <w:rsid w:val="00E6135C"/>
    <w:rsid w:val="00E917BC"/>
    <w:rsid w:val="00EB2464"/>
    <w:rsid w:val="00EB343C"/>
    <w:rsid w:val="00EB4305"/>
    <w:rsid w:val="00EC5230"/>
    <w:rsid w:val="00EC71E1"/>
    <w:rsid w:val="00ED2FA1"/>
    <w:rsid w:val="00F021DD"/>
    <w:rsid w:val="00F56B68"/>
    <w:rsid w:val="00F82360"/>
    <w:rsid w:val="00F83C31"/>
    <w:rsid w:val="00FD0B92"/>
    <w:rsid w:val="00FF00ED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174209F2-89FA-4FDE-A1CC-52168021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115</cp:revision>
  <cp:lastPrinted>2025-01-21T20:44:00Z</cp:lastPrinted>
  <dcterms:created xsi:type="dcterms:W3CDTF">2024-02-01T19:25:00Z</dcterms:created>
  <dcterms:modified xsi:type="dcterms:W3CDTF">2025-02-06T23:40:00Z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