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64E6ADB9" w:rsidR="00BA3504" w:rsidRPr="009C36AA" w:rsidRDefault="0038584F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Enero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2252B5E6" w:rsidR="00BA3504" w:rsidRPr="009C36AA" w:rsidRDefault="0038584F" w:rsidP="00BA3504">
      <w:pPr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ENERO 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A9322D" w14:textId="312E46EF" w:rsidR="00B87271" w:rsidRDefault="00B87271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i</w:t>
      </w:r>
      <w:r w:rsidR="001817F4">
        <w:rPr>
          <w:rFonts w:ascii="Verdana" w:eastAsia="Calibri" w:hAnsi="Verdana" w:cs="Arial"/>
          <w:szCs w:val="24"/>
          <w:lang w:val="es-MX" w:eastAsia="en-US"/>
        </w:rPr>
        <w:t>nicio del ejercicio fiscal, el organismo tiene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asigna</w:t>
      </w:r>
      <w:r>
        <w:rPr>
          <w:rFonts w:ascii="Verdana" w:eastAsia="Calibri" w:hAnsi="Verdana" w:cs="Arial"/>
          <w:szCs w:val="24"/>
          <w:lang w:val="es-MX" w:eastAsia="en-US"/>
        </w:rPr>
        <w:t>do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D0BB1">
        <w:rPr>
          <w:rFonts w:ascii="Verdana" w:eastAsia="Calibri" w:hAnsi="Verdana" w:cs="Arial"/>
          <w:b/>
          <w:szCs w:val="24"/>
          <w:lang w:val="es-MX" w:eastAsia="en-US"/>
        </w:rPr>
        <w:t>433,500,962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 w:rsidR="004D0BB1">
        <w:rPr>
          <w:rFonts w:ascii="Verdana" w:eastAsia="Calibri" w:hAnsi="Verdana" w:cs="Arial"/>
          <w:szCs w:val="24"/>
          <w:lang w:val="es-MX" w:eastAsia="en-US"/>
        </w:rPr>
        <w:t xml:space="preserve"> modificándose la cantidad de </w:t>
      </w:r>
      <w:r w:rsidR="001817F4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</w:t>
      </w:r>
      <w:r w:rsidR="004D0BB1" w:rsidRPr="001817F4">
        <w:rPr>
          <w:rFonts w:ascii="Verdana" w:eastAsia="Calibri" w:hAnsi="Verdana" w:cs="Arial"/>
          <w:b/>
          <w:szCs w:val="24"/>
          <w:lang w:val="es-MX" w:eastAsia="en-US"/>
        </w:rPr>
        <w:t>–Q320,</w:t>
      </w:r>
      <w:r w:rsidR="00F24594" w:rsidRPr="001817F4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4D0BB1" w:rsidRPr="001817F4">
        <w:rPr>
          <w:rFonts w:ascii="Verdana" w:eastAsia="Calibri" w:hAnsi="Verdana" w:cs="Arial"/>
          <w:b/>
          <w:szCs w:val="24"/>
          <w:lang w:val="es-MX" w:eastAsia="en-US"/>
        </w:rPr>
        <w:t>00,</w:t>
      </w:r>
      <w:r w:rsidR="003F5C96">
        <w:rPr>
          <w:rFonts w:ascii="Verdana" w:eastAsia="Calibri" w:hAnsi="Verdana" w:cs="Arial"/>
          <w:b/>
          <w:szCs w:val="24"/>
          <w:lang w:val="es-MX" w:eastAsia="en-US"/>
        </w:rPr>
        <w:t>000</w:t>
      </w:r>
      <w:r w:rsidR="004D0BB1" w:rsidRPr="001817F4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1817F4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F24594">
        <w:rPr>
          <w:rFonts w:ascii="Verdana" w:eastAsia="Calibri" w:hAnsi="Verdana" w:cs="Arial"/>
          <w:szCs w:val="24"/>
          <w:lang w:val="es-MX" w:eastAsia="en-US"/>
        </w:rPr>
        <w:t xml:space="preserve"> del  </w:t>
      </w:r>
      <w:r>
        <w:rPr>
          <w:rFonts w:ascii="Verdana" w:eastAsia="Calibri" w:hAnsi="Verdana" w:cs="Arial"/>
          <w:szCs w:val="24"/>
          <w:lang w:val="es-MX" w:eastAsia="en-US"/>
        </w:rPr>
        <w:t>Fondo de Innovación Tecnológica</w:t>
      </w:r>
      <w:r w:rsidR="004A3F77">
        <w:rPr>
          <w:rFonts w:ascii="Verdana" w:eastAsia="Calibri" w:hAnsi="Verdana" w:cs="Arial"/>
          <w:szCs w:val="24"/>
          <w:lang w:val="es-MX" w:eastAsia="en-US"/>
        </w:rPr>
        <w:t>, regularización fideicomiso y renglones de gastos administrativos</w:t>
      </w:r>
      <w:r>
        <w:rPr>
          <w:rFonts w:ascii="Verdana" w:eastAsia="Calibri" w:hAnsi="Verdana" w:cs="Arial"/>
          <w:szCs w:val="24"/>
          <w:lang w:val="es-MX" w:eastAsia="en-US"/>
        </w:rPr>
        <w:t>,</w:t>
      </w:r>
      <w:r w:rsidR="00F24594">
        <w:rPr>
          <w:rFonts w:ascii="Verdana" w:eastAsia="Calibri" w:hAnsi="Verdana" w:cs="Arial"/>
          <w:szCs w:val="24"/>
          <w:lang w:val="es-MX" w:eastAsia="en-US"/>
        </w:rPr>
        <w:t xml:space="preserve"> por medio de </w:t>
      </w:r>
      <w:r>
        <w:rPr>
          <w:rFonts w:ascii="Verdana" w:eastAsia="Calibri" w:hAnsi="Verdana" w:cs="Arial"/>
          <w:szCs w:val="24"/>
          <w:lang w:val="es-MX" w:eastAsia="en-US"/>
        </w:rPr>
        <w:t>transferencia presupuestaria</w:t>
      </w:r>
      <w:r w:rsidR="00F24594">
        <w:rPr>
          <w:rFonts w:ascii="Verdana" w:eastAsia="Calibri" w:hAnsi="Verdana" w:cs="Arial"/>
          <w:szCs w:val="24"/>
          <w:lang w:val="es-MX" w:eastAsia="en-US"/>
        </w:rPr>
        <w:t xml:space="preserve"> interinstitucional</w:t>
      </w:r>
      <w:r>
        <w:rPr>
          <w:rFonts w:ascii="Verdana" w:eastAsia="Calibri" w:hAnsi="Verdana" w:cs="Arial"/>
          <w:szCs w:val="24"/>
          <w:lang w:val="es-MX" w:eastAsia="en-US"/>
        </w:rPr>
        <w:t xml:space="preserve"> (INTER), </w:t>
      </w:r>
      <w:r w:rsidR="000D1AF0">
        <w:rPr>
          <w:rFonts w:ascii="Verdana" w:eastAsia="Calibri" w:hAnsi="Verdana" w:cs="Arial"/>
          <w:szCs w:val="24"/>
          <w:lang w:val="es-MX" w:eastAsia="en-US"/>
        </w:rPr>
        <w:t>y así</w:t>
      </w:r>
      <w:r>
        <w:rPr>
          <w:rFonts w:ascii="Verdana" w:eastAsia="Calibri" w:hAnsi="Verdana" w:cs="Arial"/>
          <w:szCs w:val="24"/>
          <w:lang w:val="es-MX" w:eastAsia="en-US"/>
        </w:rPr>
        <w:t xml:space="preserve"> dar cumplimiento </w:t>
      </w:r>
      <w:r w:rsidRPr="00B87271">
        <w:rPr>
          <w:rFonts w:ascii="Verdana" w:eastAsia="Calibri" w:hAnsi="Verdana" w:cs="Arial"/>
          <w:szCs w:val="24"/>
          <w:lang w:val="es-MX" w:eastAsia="en-US"/>
        </w:rPr>
        <w:t>al Artículo 129</w:t>
      </w:r>
      <w:r w:rsidR="00A81467">
        <w:rPr>
          <w:rFonts w:ascii="Verdana" w:eastAsia="Calibri" w:hAnsi="Verdana" w:cs="Arial"/>
          <w:szCs w:val="24"/>
          <w:lang w:val="es-MX" w:eastAsia="en-US"/>
        </w:rPr>
        <w:t>, numeral II,</w:t>
      </w:r>
      <w:r w:rsidRPr="00B87271">
        <w:rPr>
          <w:rFonts w:ascii="Verdana" w:eastAsia="Calibri" w:hAnsi="Verdana" w:cs="Arial"/>
          <w:szCs w:val="24"/>
          <w:lang w:val="es-MX" w:eastAsia="en-US"/>
        </w:rPr>
        <w:t xml:space="preserve"> inciso c)</w:t>
      </w:r>
      <w:r w:rsidR="00A81467">
        <w:rPr>
          <w:rFonts w:ascii="Verdana" w:eastAsia="Calibri" w:hAnsi="Verdana" w:cs="Arial"/>
          <w:szCs w:val="24"/>
          <w:lang w:val="es-MX" w:eastAsia="en-US"/>
        </w:rPr>
        <w:t>,</w:t>
      </w:r>
      <w:r w:rsidRPr="00B87271">
        <w:rPr>
          <w:rFonts w:ascii="Verdana" w:eastAsia="Calibri" w:hAnsi="Verdana" w:cs="Arial"/>
          <w:szCs w:val="24"/>
          <w:lang w:val="es-MX" w:eastAsia="en-US"/>
        </w:rPr>
        <w:t xml:space="preserve"> del Dec</w:t>
      </w:r>
      <w:r>
        <w:rPr>
          <w:rFonts w:ascii="Verdana" w:eastAsia="Calibri" w:hAnsi="Verdana" w:cs="Arial"/>
          <w:szCs w:val="24"/>
          <w:lang w:val="es-MX" w:eastAsia="en-US"/>
        </w:rPr>
        <w:t>reto 36-2024</w:t>
      </w:r>
      <w:r w:rsidR="001817F4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Ley de Presupuesto </w:t>
      </w:r>
      <w:r w:rsidRPr="00B87271">
        <w:rPr>
          <w:rFonts w:ascii="Verdana" w:eastAsia="Calibri" w:hAnsi="Verdana" w:cs="Arial"/>
          <w:szCs w:val="24"/>
          <w:lang w:val="es-MX" w:eastAsia="en-US"/>
        </w:rPr>
        <w:t xml:space="preserve">General de Ingresos y Egresos del </w:t>
      </w:r>
      <w:r>
        <w:rPr>
          <w:rFonts w:ascii="Verdana" w:eastAsia="Calibri" w:hAnsi="Verdana" w:cs="Arial"/>
          <w:szCs w:val="24"/>
          <w:lang w:val="es-MX" w:eastAsia="en-US"/>
        </w:rPr>
        <w:t>Estado para el Ejercicio Fiscal 2025.</w:t>
      </w:r>
    </w:p>
    <w:p w14:paraId="47D3FAA5" w14:textId="77777777" w:rsidR="00B87271" w:rsidRPr="00B87271" w:rsidRDefault="00B87271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014C3957" w:rsidR="00BA3504" w:rsidRDefault="00B87271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Por lo que, el presupuesto vigente para el resto del ejercicio fiscal desciende</w:t>
      </w:r>
      <w:r w:rsidR="001817F4">
        <w:rPr>
          <w:rFonts w:ascii="Verdana" w:eastAsia="Calibri" w:hAnsi="Verdana" w:cs="Arial"/>
          <w:szCs w:val="24"/>
          <w:lang w:val="es-MX" w:eastAsia="en-US"/>
        </w:rPr>
        <w:t xml:space="preserve"> a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B87271">
        <w:rPr>
          <w:rFonts w:ascii="Verdana" w:eastAsia="Calibri" w:hAnsi="Verdana" w:cs="Arial"/>
          <w:b/>
          <w:szCs w:val="24"/>
          <w:lang w:val="es-MX" w:eastAsia="en-US"/>
        </w:rPr>
        <w:t>Q113 millones</w:t>
      </w:r>
      <w:r>
        <w:rPr>
          <w:rFonts w:ascii="Verdana" w:eastAsia="Calibri" w:hAnsi="Verdana" w:cs="Arial"/>
          <w:b/>
          <w:szCs w:val="24"/>
          <w:lang w:val="es-MX" w:eastAsia="en-US"/>
        </w:rPr>
        <w:t xml:space="preserve">, </w:t>
      </w:r>
      <w:r>
        <w:rPr>
          <w:rFonts w:ascii="Verdana" w:eastAsia="Calibri" w:hAnsi="Verdana" w:cs="Arial"/>
          <w:szCs w:val="24"/>
          <w:lang w:val="es-MX" w:eastAsia="en-US"/>
        </w:rPr>
        <w:t xml:space="preserve">del cual se ejecutó al mes de enero </w:t>
      </w:r>
      <w:r w:rsidRPr="00B87271">
        <w:rPr>
          <w:rFonts w:ascii="Verdana" w:eastAsia="Calibri" w:hAnsi="Verdana" w:cs="Arial"/>
          <w:b/>
          <w:szCs w:val="24"/>
          <w:lang w:val="es-MX" w:eastAsia="en-US"/>
        </w:rPr>
        <w:t>Q.1.2 millones</w:t>
      </w:r>
      <w:r w:rsidR="001817F4">
        <w:rPr>
          <w:rFonts w:ascii="Verdana" w:eastAsia="Calibri" w:hAnsi="Verdana" w:cs="Arial"/>
          <w:b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equivalente al 1.11%, orientado a </w:t>
      </w:r>
      <w:r w:rsidR="00FC147F">
        <w:rPr>
          <w:rFonts w:ascii="Verdana" w:eastAsia="Calibri" w:hAnsi="Verdana" w:cs="Arial"/>
          <w:szCs w:val="24"/>
          <w:lang w:val="es-MX" w:eastAsia="en-US"/>
        </w:rPr>
        <w:t>gastos de funcionamiento.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10D3944C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008992A3" w:rsidR="00191305" w:rsidRPr="0055653E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4EC6D267" w14:textId="04277FC9" w:rsidR="00FF6099" w:rsidRPr="00C21E3D" w:rsidRDefault="00FF6099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27A1E647" w14:textId="633E0228" w:rsidR="00431298" w:rsidRDefault="00740FD5" w:rsidP="00E6613B">
      <w:pPr>
        <w:pStyle w:val="Textoindependiente"/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val="es-MX"/>
        </w:rPr>
        <w:drawing>
          <wp:inline distT="0" distB="0" distL="0" distR="0" wp14:anchorId="34EE13A6" wp14:editId="38C5041E">
            <wp:extent cx="3962400" cy="2247793"/>
            <wp:effectExtent l="0" t="0" r="0" b="635"/>
            <wp:docPr id="1116492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572" cy="2272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CA2AF" w14:textId="77777777" w:rsidR="0055653E" w:rsidRPr="00AC73B4" w:rsidRDefault="0055653E" w:rsidP="0055653E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               </w:t>
      </w:r>
      <w:r w:rsidR="00191305" w:rsidRPr="006014DF">
        <w:rPr>
          <w:rFonts w:ascii="Verdana" w:hAnsi="Verdana" w:cs="Arial"/>
          <w:b/>
          <w:sz w:val="14"/>
          <w:lang w:val="es-MX"/>
        </w:rPr>
        <w:t>Fuente:</w:t>
      </w:r>
      <w:r w:rsidR="00191305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191305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191305" w:rsidRPr="006014DF">
        <w:rPr>
          <w:rFonts w:ascii="Verdana" w:hAnsi="Verdana" w:cs="Arial"/>
          <w:sz w:val="14"/>
          <w:lang w:val="es-MX"/>
        </w:rPr>
        <w:t xml:space="preserve">) </w:t>
      </w:r>
      <w:r>
        <w:rPr>
          <w:rFonts w:ascii="Verdana" w:hAnsi="Verdana" w:cs="Arial"/>
          <w:sz w:val="14"/>
          <w:lang w:val="es-MX"/>
        </w:rPr>
        <w:t>04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02</w:t>
      </w:r>
      <w:r w:rsidRPr="006014DF">
        <w:rPr>
          <w:rFonts w:ascii="Verdana" w:hAnsi="Verdana" w:cs="Arial"/>
          <w:sz w:val="14"/>
          <w:lang w:val="es-MX"/>
        </w:rPr>
        <w:t>/202</w:t>
      </w:r>
      <w:r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9:43</w:t>
      </w:r>
    </w:p>
    <w:p w14:paraId="373479E4" w14:textId="4EFD0E8D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lastRenderedPageBreak/>
        <w:t>Gráfica No. 2</w:t>
      </w:r>
    </w:p>
    <w:p w14:paraId="0891D98B" w14:textId="57A6891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4A762366" w:rsidR="00BA3504" w:rsidRDefault="00FE76A0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A51E34">
        <w:rPr>
          <w:rFonts w:ascii="Verdana" w:hAnsi="Verdana" w:cs="Arial"/>
          <w:b/>
          <w:lang w:val="es-MX"/>
        </w:rPr>
        <w:t>P</w:t>
      </w:r>
      <w:r>
        <w:rPr>
          <w:rFonts w:ascii="Verdana" w:hAnsi="Verdana" w:cs="Arial"/>
          <w:b/>
          <w:lang w:val="es-MX"/>
        </w:rPr>
        <w:t>resupuesto por grupo de gasto</w:t>
      </w:r>
    </w:p>
    <w:p w14:paraId="0DCFE931" w14:textId="3138E91B" w:rsidR="00FA4DEB" w:rsidRDefault="00A51E34" w:rsidP="00FA4DEB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4DF02E1" wp14:editId="0DF68E01">
            <wp:simplePos x="0" y="0"/>
            <wp:positionH relativeFrom="margin">
              <wp:posOffset>-661035</wp:posOffset>
            </wp:positionH>
            <wp:positionV relativeFrom="paragraph">
              <wp:posOffset>122555</wp:posOffset>
            </wp:positionV>
            <wp:extent cx="6838950" cy="4029075"/>
            <wp:effectExtent l="0" t="0" r="0" b="9525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19400435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BCB66" w14:textId="3E104D5A" w:rsidR="00BA3504" w:rsidRDefault="00A20A30" w:rsidP="00FA4DEB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FE76A0">
        <w:rPr>
          <w:rFonts w:ascii="Verdana" w:hAnsi="Verdana" w:cs="Arial"/>
          <w:sz w:val="14"/>
          <w:lang w:val="es-MX"/>
        </w:rPr>
        <w:t>04</w:t>
      </w:r>
      <w:r w:rsidR="00FE76A0" w:rsidRPr="006014DF">
        <w:rPr>
          <w:rFonts w:ascii="Verdana" w:hAnsi="Verdana" w:cs="Arial"/>
          <w:sz w:val="14"/>
          <w:lang w:val="es-MX"/>
        </w:rPr>
        <w:t>/</w:t>
      </w:r>
      <w:r w:rsidR="00FE76A0">
        <w:rPr>
          <w:rFonts w:ascii="Verdana" w:hAnsi="Verdana" w:cs="Arial"/>
          <w:sz w:val="14"/>
          <w:lang w:val="es-MX"/>
        </w:rPr>
        <w:t>02</w:t>
      </w:r>
      <w:r w:rsidR="00FE76A0" w:rsidRPr="006014DF">
        <w:rPr>
          <w:rFonts w:ascii="Verdana" w:hAnsi="Verdana" w:cs="Arial"/>
          <w:sz w:val="14"/>
          <w:lang w:val="es-MX"/>
        </w:rPr>
        <w:t>/202</w:t>
      </w:r>
      <w:r w:rsidR="00FE76A0">
        <w:rPr>
          <w:rFonts w:ascii="Verdana" w:hAnsi="Verdana" w:cs="Arial"/>
          <w:sz w:val="14"/>
          <w:lang w:val="es-MX"/>
        </w:rPr>
        <w:t>5</w:t>
      </w:r>
      <w:r w:rsidR="00FE76A0" w:rsidRPr="006014DF">
        <w:rPr>
          <w:rFonts w:ascii="Verdana" w:hAnsi="Verdana" w:cs="Arial"/>
          <w:sz w:val="14"/>
          <w:lang w:val="es-MX"/>
        </w:rPr>
        <w:t xml:space="preserve"> </w:t>
      </w:r>
      <w:r w:rsidR="00FE76A0">
        <w:rPr>
          <w:rFonts w:ascii="Verdana" w:hAnsi="Verdana" w:cs="Arial"/>
          <w:sz w:val="14"/>
          <w:lang w:val="es-MX"/>
        </w:rPr>
        <w:t>9:43</w:t>
      </w:r>
    </w:p>
    <w:p w14:paraId="466D6345" w14:textId="77777777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5B80B6EE" w14:textId="77777777" w:rsidR="009831E5" w:rsidRDefault="009831E5" w:rsidP="006B6D2C">
      <w:pPr>
        <w:jc w:val="both"/>
        <w:rPr>
          <w:rFonts w:ascii="Verdana" w:hAnsi="Verdana" w:cs="Arial"/>
          <w:lang w:val="es-MX"/>
        </w:rPr>
      </w:pPr>
    </w:p>
    <w:p w14:paraId="57139D46" w14:textId="77777777" w:rsidR="009831E5" w:rsidRDefault="009831E5" w:rsidP="006B6D2C">
      <w:pPr>
        <w:jc w:val="both"/>
        <w:rPr>
          <w:rFonts w:ascii="Verdana" w:hAnsi="Verdana" w:cs="Arial"/>
          <w:lang w:val="es-MX"/>
        </w:rPr>
      </w:pPr>
    </w:p>
    <w:p w14:paraId="2528F4B3" w14:textId="73F69DE0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únicamente pago de nómina y de servicios.</w:t>
      </w:r>
    </w:p>
    <w:p w14:paraId="6B9624D9" w14:textId="77777777" w:rsidR="00FF68B6" w:rsidRDefault="00FF68B6" w:rsidP="00C34294">
      <w:pPr>
        <w:jc w:val="both"/>
        <w:rPr>
          <w:rFonts w:ascii="Verdana" w:hAnsi="Verdana"/>
        </w:rPr>
      </w:pPr>
    </w:p>
    <w:p w14:paraId="1DA40740" w14:textId="77777777" w:rsidR="00A51E34" w:rsidRDefault="00A51E34" w:rsidP="00C34294">
      <w:pPr>
        <w:jc w:val="both"/>
        <w:rPr>
          <w:rFonts w:ascii="Verdana" w:hAnsi="Verdana"/>
        </w:rPr>
      </w:pPr>
    </w:p>
    <w:p w14:paraId="5A0108EE" w14:textId="77777777" w:rsidR="00A51E34" w:rsidRDefault="00A51E34" w:rsidP="00C34294">
      <w:pPr>
        <w:jc w:val="both"/>
        <w:rPr>
          <w:rFonts w:ascii="Verdana" w:hAnsi="Verdana"/>
        </w:rPr>
      </w:pPr>
    </w:p>
    <w:p w14:paraId="304CBE34" w14:textId="77777777" w:rsidR="00A51E34" w:rsidRDefault="00A51E34" w:rsidP="00C34294">
      <w:pPr>
        <w:jc w:val="both"/>
        <w:rPr>
          <w:rFonts w:ascii="Verdana" w:hAnsi="Verdana"/>
        </w:rPr>
      </w:pPr>
    </w:p>
    <w:p w14:paraId="56E10C9E" w14:textId="77777777" w:rsidR="00A51E34" w:rsidRDefault="00A51E34" w:rsidP="00C34294">
      <w:pPr>
        <w:jc w:val="both"/>
        <w:rPr>
          <w:rFonts w:ascii="Verdana" w:hAnsi="Verdana"/>
        </w:rPr>
      </w:pPr>
    </w:p>
    <w:p w14:paraId="32AE9B72" w14:textId="77777777" w:rsidR="00A51E34" w:rsidRDefault="00A51E34" w:rsidP="00C34294">
      <w:pPr>
        <w:jc w:val="both"/>
        <w:rPr>
          <w:rFonts w:ascii="Verdana" w:hAnsi="Verdana"/>
        </w:rPr>
      </w:pPr>
    </w:p>
    <w:p w14:paraId="3FB1ECE1" w14:textId="77777777" w:rsidR="00A51E34" w:rsidRDefault="00A51E34" w:rsidP="00C34294">
      <w:pPr>
        <w:jc w:val="both"/>
        <w:rPr>
          <w:rFonts w:ascii="Verdana" w:hAnsi="Verdana"/>
        </w:rPr>
      </w:pPr>
    </w:p>
    <w:p w14:paraId="568D77EB" w14:textId="77777777" w:rsidR="00A51E34" w:rsidRDefault="00A51E34" w:rsidP="00C34294">
      <w:pPr>
        <w:jc w:val="both"/>
        <w:rPr>
          <w:rFonts w:ascii="Verdana" w:hAnsi="Verdana"/>
        </w:rPr>
      </w:pPr>
    </w:p>
    <w:p w14:paraId="5034A04D" w14:textId="77777777" w:rsidR="00A51E34" w:rsidRPr="009C36AA" w:rsidRDefault="00A51E34" w:rsidP="00C34294">
      <w:pPr>
        <w:jc w:val="both"/>
        <w:rPr>
          <w:rFonts w:ascii="Verdana" w:hAnsi="Verdana"/>
        </w:rPr>
      </w:pP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2F772FBB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38EA37A9" w:rsidR="00C34294" w:rsidRDefault="003F5C96" w:rsidP="00C34294">
      <w:pPr>
        <w:jc w:val="center"/>
        <w:rPr>
          <w:rFonts w:ascii="Verdana" w:hAnsi="Verdana" w:cs="Arial"/>
          <w:b/>
          <w:lang w:val="es-MX"/>
        </w:rPr>
      </w:pPr>
      <w:r w:rsidRPr="003F5C96">
        <w:drawing>
          <wp:anchor distT="0" distB="0" distL="114300" distR="114300" simplePos="0" relativeHeight="251659264" behindDoc="1" locked="0" layoutInCell="1" allowOverlap="1" wp14:anchorId="22492737" wp14:editId="670C1309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6486525" cy="6762750"/>
            <wp:effectExtent l="19050" t="19050" r="28575" b="19050"/>
            <wp:wrapTight wrapText="bothSides">
              <wp:wrapPolygon edited="0">
                <wp:start x="-63" y="-61"/>
                <wp:lineTo x="-63" y="21600"/>
                <wp:lineTo x="21632" y="21600"/>
                <wp:lineTo x="21632" y="-61"/>
                <wp:lineTo x="-63" y="-61"/>
              </wp:wrapPolygon>
            </wp:wrapTight>
            <wp:docPr id="858062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762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D2C">
        <w:rPr>
          <w:rFonts w:ascii="Verdana" w:hAnsi="Verdana" w:cs="Arial"/>
          <w:b/>
          <w:lang w:val="es-MX"/>
        </w:rPr>
        <w:t xml:space="preserve"> </w:t>
      </w:r>
      <w:r>
        <w:rPr>
          <w:rFonts w:ascii="Verdana" w:hAnsi="Verdana" w:cs="Arial"/>
          <w:b/>
          <w:lang w:val="es-MX"/>
        </w:rPr>
        <w:t>P</w:t>
      </w:r>
      <w:r w:rsidR="006B6D2C" w:rsidRPr="00732114">
        <w:rPr>
          <w:rFonts w:ascii="Verdana" w:hAnsi="Verdana" w:cs="Arial"/>
          <w:b/>
          <w:lang w:val="es-MX"/>
        </w:rPr>
        <w:t>resupuesto</w:t>
      </w:r>
      <w:r w:rsidR="006B6D2C">
        <w:rPr>
          <w:rFonts w:ascii="Verdana" w:hAnsi="Verdana" w:cs="Arial"/>
          <w:b/>
          <w:lang w:val="es-MX"/>
        </w:rPr>
        <w:t xml:space="preserve"> por d</w:t>
      </w:r>
      <w:r w:rsidR="006B6D2C" w:rsidRPr="00732114">
        <w:rPr>
          <w:rFonts w:ascii="Verdana" w:hAnsi="Verdana" w:cs="Arial"/>
          <w:b/>
          <w:lang w:val="es-MX"/>
        </w:rPr>
        <w:t>ependencias y grupo de gasto</w:t>
      </w:r>
    </w:p>
    <w:p w14:paraId="571970BB" w14:textId="0EE0B774" w:rsidR="006B6D2C" w:rsidRDefault="00A20A30" w:rsidP="0022425A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B6D2C">
        <w:rPr>
          <w:rFonts w:ascii="Verdana" w:hAnsi="Verdana" w:cs="Arial"/>
          <w:sz w:val="14"/>
          <w:lang w:val="es-MX"/>
        </w:rPr>
        <w:t>04</w:t>
      </w:r>
      <w:r w:rsidR="006B6D2C" w:rsidRPr="006014DF">
        <w:rPr>
          <w:rFonts w:ascii="Verdana" w:hAnsi="Verdana" w:cs="Arial"/>
          <w:sz w:val="14"/>
          <w:lang w:val="es-MX"/>
        </w:rPr>
        <w:t>/</w:t>
      </w:r>
      <w:r w:rsidR="006B6D2C">
        <w:rPr>
          <w:rFonts w:ascii="Verdana" w:hAnsi="Verdana" w:cs="Arial"/>
          <w:sz w:val="14"/>
          <w:lang w:val="es-MX"/>
        </w:rPr>
        <w:t>02</w:t>
      </w:r>
      <w:r w:rsidR="006B6D2C" w:rsidRPr="006014DF">
        <w:rPr>
          <w:rFonts w:ascii="Verdana" w:hAnsi="Verdana" w:cs="Arial"/>
          <w:sz w:val="14"/>
          <w:lang w:val="es-MX"/>
        </w:rPr>
        <w:t>/202</w:t>
      </w:r>
      <w:r w:rsidR="006B6D2C">
        <w:rPr>
          <w:rFonts w:ascii="Verdana" w:hAnsi="Verdana" w:cs="Arial"/>
          <w:sz w:val="14"/>
          <w:lang w:val="es-MX"/>
        </w:rPr>
        <w:t>5</w:t>
      </w:r>
      <w:r w:rsidR="006B6D2C" w:rsidRPr="006014DF">
        <w:rPr>
          <w:rFonts w:ascii="Verdana" w:hAnsi="Verdana" w:cs="Arial"/>
          <w:sz w:val="14"/>
          <w:lang w:val="es-MX"/>
        </w:rPr>
        <w:t xml:space="preserve"> </w:t>
      </w:r>
      <w:r w:rsidR="006B6D2C">
        <w:rPr>
          <w:rFonts w:ascii="Verdana" w:hAnsi="Verdana" w:cs="Arial"/>
          <w:sz w:val="14"/>
          <w:lang w:val="es-MX"/>
        </w:rPr>
        <w:t>9:43</w:t>
      </w:r>
    </w:p>
    <w:p w14:paraId="1205571A" w14:textId="35898B02" w:rsidR="006B6D2C" w:rsidRPr="00EB602F" w:rsidRDefault="00BC5E60" w:rsidP="00BC5E60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 xml:space="preserve">El cuadro dos detalla el comportamiento de las cuotas financieras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67ADF302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9831E5">
        <w:rPr>
          <w:rFonts w:ascii="Verdana" w:hAnsi="Verdana" w:cs="Arial"/>
          <w:b/>
          <w:lang w:val="es-MX"/>
        </w:rPr>
        <w:t>2</w:t>
      </w:r>
    </w:p>
    <w:p w14:paraId="559D2242" w14:textId="77777777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083824A2" w14:textId="77777777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6CE2087B" w14:textId="77777777" w:rsidR="006B6D2C" w:rsidRPr="00E00C58" w:rsidRDefault="006B6D2C" w:rsidP="006B6D2C">
      <w:pPr>
        <w:rPr>
          <w:rFonts w:ascii="Verdana" w:hAnsi="Verdana" w:cs="Arial"/>
          <w:b/>
          <w:sz w:val="16"/>
          <w:lang w:val="es-MX"/>
        </w:rPr>
      </w:pPr>
    </w:p>
    <w:p w14:paraId="366C4847" w14:textId="34E3891B" w:rsidR="006B6D2C" w:rsidRPr="009C36AA" w:rsidRDefault="00C57979" w:rsidP="006B6D2C">
      <w:pPr>
        <w:rPr>
          <w:rFonts w:ascii="Verdana" w:hAnsi="Verdana" w:cs="Arial"/>
          <w:b/>
          <w:lang w:val="es-MX"/>
        </w:rPr>
      </w:pPr>
      <w:r w:rsidRPr="00C57979">
        <w:rPr>
          <w:noProof/>
          <w:lang w:eastAsia="es-GT"/>
        </w:rPr>
        <w:drawing>
          <wp:inline distT="0" distB="0" distL="0" distR="0" wp14:anchorId="6E69E9BB" wp14:editId="78C28021">
            <wp:extent cx="5611917" cy="2311400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29" cy="231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8D5A" w14:textId="77777777" w:rsidR="006B6D2C" w:rsidRPr="00440FA9" w:rsidRDefault="006B6D2C" w:rsidP="006B6D2C">
      <w:pPr>
        <w:jc w:val="center"/>
        <w:rPr>
          <w:rFonts w:ascii="Verdana" w:hAnsi="Verdana" w:cs="Arial"/>
          <w:b/>
          <w:sz w:val="4"/>
          <w:lang w:val="es-MX"/>
        </w:rPr>
      </w:pPr>
    </w:p>
    <w:p w14:paraId="724E3B73" w14:textId="77777777" w:rsidR="00212AF2" w:rsidRPr="002204FB" w:rsidRDefault="006B6D2C" w:rsidP="00212AF2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212AF2">
        <w:rPr>
          <w:rFonts w:ascii="Verdana" w:hAnsi="Verdana" w:cs="Arial"/>
          <w:sz w:val="14"/>
          <w:lang w:val="es-MX"/>
        </w:rPr>
        <w:t>04</w:t>
      </w:r>
      <w:r w:rsidR="00212AF2" w:rsidRPr="006014DF">
        <w:rPr>
          <w:rFonts w:ascii="Verdana" w:hAnsi="Verdana" w:cs="Arial"/>
          <w:sz w:val="14"/>
          <w:lang w:val="es-MX"/>
        </w:rPr>
        <w:t>/</w:t>
      </w:r>
      <w:r w:rsidR="00212AF2">
        <w:rPr>
          <w:rFonts w:ascii="Verdana" w:hAnsi="Verdana" w:cs="Arial"/>
          <w:sz w:val="14"/>
          <w:lang w:val="es-MX"/>
        </w:rPr>
        <w:t>02</w:t>
      </w:r>
      <w:r w:rsidR="00212AF2" w:rsidRPr="006014DF">
        <w:rPr>
          <w:rFonts w:ascii="Verdana" w:hAnsi="Verdana" w:cs="Arial"/>
          <w:sz w:val="14"/>
          <w:lang w:val="es-MX"/>
        </w:rPr>
        <w:t>/202</w:t>
      </w:r>
      <w:r w:rsidR="00212AF2">
        <w:rPr>
          <w:rFonts w:ascii="Verdana" w:hAnsi="Verdana" w:cs="Arial"/>
          <w:sz w:val="14"/>
          <w:lang w:val="es-MX"/>
        </w:rPr>
        <w:t>5</w:t>
      </w:r>
      <w:r w:rsidR="00212AF2" w:rsidRPr="006014DF">
        <w:rPr>
          <w:rFonts w:ascii="Verdana" w:hAnsi="Verdana" w:cs="Arial"/>
          <w:sz w:val="14"/>
          <w:lang w:val="es-MX"/>
        </w:rPr>
        <w:t xml:space="preserve"> </w:t>
      </w:r>
      <w:r w:rsidR="00212AF2">
        <w:rPr>
          <w:rFonts w:ascii="Verdana" w:hAnsi="Verdana" w:cs="Arial"/>
          <w:sz w:val="14"/>
          <w:lang w:val="es-MX"/>
        </w:rPr>
        <w:t>13:00</w:t>
      </w:r>
    </w:p>
    <w:p w14:paraId="3E4B8C69" w14:textId="77777777" w:rsidR="00212AF2" w:rsidRPr="00D806CC" w:rsidRDefault="00212AF2" w:rsidP="00212AF2">
      <w:pPr>
        <w:rPr>
          <w:rFonts w:ascii="Verdana" w:hAnsi="Verdana" w:cs="Arial"/>
          <w:sz w:val="16"/>
        </w:rPr>
      </w:pPr>
    </w:p>
    <w:p w14:paraId="4FC4B36D" w14:textId="6FAD9C33" w:rsidR="006B6D2C" w:rsidRDefault="006B6D2C" w:rsidP="006B6D2C">
      <w:pPr>
        <w:rPr>
          <w:rFonts w:ascii="Verdana" w:hAnsi="Verdana" w:cs="Arial"/>
          <w:sz w:val="14"/>
          <w:lang w:val="es-MX"/>
        </w:rPr>
      </w:pPr>
    </w:p>
    <w:p w14:paraId="2E65CA0E" w14:textId="77777777" w:rsidR="006B6D2C" w:rsidRPr="009C36AA" w:rsidRDefault="006B6D2C" w:rsidP="0022425A">
      <w:pPr>
        <w:rPr>
          <w:rFonts w:ascii="Verdana" w:hAnsi="Verdana"/>
        </w:rPr>
      </w:pPr>
    </w:p>
    <w:sectPr w:rsidR="006B6D2C" w:rsidRPr="009C36AA" w:rsidSect="00740FD5">
      <w:headerReference w:type="default" r:id="rId10"/>
      <w:footerReference w:type="default" r:id="rId11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C052" w14:textId="77777777" w:rsidR="002673D1" w:rsidRDefault="002673D1" w:rsidP="00950217">
      <w:r>
        <w:separator/>
      </w:r>
    </w:p>
  </w:endnote>
  <w:endnote w:type="continuationSeparator" w:id="0">
    <w:p w14:paraId="1D183457" w14:textId="77777777" w:rsidR="002673D1" w:rsidRDefault="002673D1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5B5D" w14:textId="77777777" w:rsidR="002673D1" w:rsidRDefault="002673D1" w:rsidP="00950217">
      <w:r>
        <w:separator/>
      </w:r>
    </w:p>
  </w:footnote>
  <w:footnote w:type="continuationSeparator" w:id="0">
    <w:p w14:paraId="102206D5" w14:textId="77777777" w:rsidR="002673D1" w:rsidRDefault="002673D1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B1178"/>
    <w:rsid w:val="000C37A9"/>
    <w:rsid w:val="000C4FAA"/>
    <w:rsid w:val="000D1AF0"/>
    <w:rsid w:val="000D3A35"/>
    <w:rsid w:val="000F2DCB"/>
    <w:rsid w:val="00112DD9"/>
    <w:rsid w:val="001817F4"/>
    <w:rsid w:val="00183A5B"/>
    <w:rsid w:val="00191305"/>
    <w:rsid w:val="001920D7"/>
    <w:rsid w:val="0019537C"/>
    <w:rsid w:val="001A1695"/>
    <w:rsid w:val="001B150C"/>
    <w:rsid w:val="001B4D00"/>
    <w:rsid w:val="00212AF2"/>
    <w:rsid w:val="0022425A"/>
    <w:rsid w:val="00224D0E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C2478"/>
    <w:rsid w:val="002D29FE"/>
    <w:rsid w:val="00307024"/>
    <w:rsid w:val="003157BB"/>
    <w:rsid w:val="00327145"/>
    <w:rsid w:val="003434A8"/>
    <w:rsid w:val="0037225F"/>
    <w:rsid w:val="0038584F"/>
    <w:rsid w:val="003873E0"/>
    <w:rsid w:val="00390225"/>
    <w:rsid w:val="003A0816"/>
    <w:rsid w:val="003D61AA"/>
    <w:rsid w:val="003F5C96"/>
    <w:rsid w:val="004034FE"/>
    <w:rsid w:val="004305E2"/>
    <w:rsid w:val="00431298"/>
    <w:rsid w:val="004336D5"/>
    <w:rsid w:val="00440FA9"/>
    <w:rsid w:val="00451BAB"/>
    <w:rsid w:val="00455186"/>
    <w:rsid w:val="00456C49"/>
    <w:rsid w:val="0047348E"/>
    <w:rsid w:val="0049741C"/>
    <w:rsid w:val="004A3F77"/>
    <w:rsid w:val="004B72A3"/>
    <w:rsid w:val="004D0BB1"/>
    <w:rsid w:val="004D48D4"/>
    <w:rsid w:val="004D59B0"/>
    <w:rsid w:val="004E46CE"/>
    <w:rsid w:val="00507D19"/>
    <w:rsid w:val="00516A31"/>
    <w:rsid w:val="005254C3"/>
    <w:rsid w:val="005444E4"/>
    <w:rsid w:val="00547814"/>
    <w:rsid w:val="0055653E"/>
    <w:rsid w:val="00590FD2"/>
    <w:rsid w:val="005C3CD2"/>
    <w:rsid w:val="005C4EEB"/>
    <w:rsid w:val="005D193F"/>
    <w:rsid w:val="005D52AE"/>
    <w:rsid w:val="005F1323"/>
    <w:rsid w:val="00600D23"/>
    <w:rsid w:val="00606AAD"/>
    <w:rsid w:val="00611A8B"/>
    <w:rsid w:val="0063196F"/>
    <w:rsid w:val="006448E3"/>
    <w:rsid w:val="00676356"/>
    <w:rsid w:val="006A0401"/>
    <w:rsid w:val="006A4CA1"/>
    <w:rsid w:val="006A58C1"/>
    <w:rsid w:val="006B6D2C"/>
    <w:rsid w:val="006C2EA0"/>
    <w:rsid w:val="006D1BF3"/>
    <w:rsid w:val="006D35FA"/>
    <w:rsid w:val="006E1701"/>
    <w:rsid w:val="006E1C78"/>
    <w:rsid w:val="006E32FB"/>
    <w:rsid w:val="006E3B81"/>
    <w:rsid w:val="00733A93"/>
    <w:rsid w:val="00740FD5"/>
    <w:rsid w:val="007550D9"/>
    <w:rsid w:val="0077737B"/>
    <w:rsid w:val="00796874"/>
    <w:rsid w:val="007D123F"/>
    <w:rsid w:val="00813F9F"/>
    <w:rsid w:val="00831D8C"/>
    <w:rsid w:val="00835EB3"/>
    <w:rsid w:val="0084328F"/>
    <w:rsid w:val="00866060"/>
    <w:rsid w:val="00870270"/>
    <w:rsid w:val="00891D77"/>
    <w:rsid w:val="008973EC"/>
    <w:rsid w:val="008A439A"/>
    <w:rsid w:val="008B691D"/>
    <w:rsid w:val="008B6BCF"/>
    <w:rsid w:val="008E4160"/>
    <w:rsid w:val="008E47E2"/>
    <w:rsid w:val="008E5A41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52E14"/>
    <w:rsid w:val="00B55CD2"/>
    <w:rsid w:val="00B56C30"/>
    <w:rsid w:val="00B70368"/>
    <w:rsid w:val="00B75F97"/>
    <w:rsid w:val="00B87271"/>
    <w:rsid w:val="00BA3504"/>
    <w:rsid w:val="00BB35A3"/>
    <w:rsid w:val="00BC0E87"/>
    <w:rsid w:val="00BC572D"/>
    <w:rsid w:val="00BC5E60"/>
    <w:rsid w:val="00BE4C5C"/>
    <w:rsid w:val="00BE6DE5"/>
    <w:rsid w:val="00C07E0B"/>
    <w:rsid w:val="00C11D31"/>
    <w:rsid w:val="00C14BF0"/>
    <w:rsid w:val="00C21E3D"/>
    <w:rsid w:val="00C330BE"/>
    <w:rsid w:val="00C34294"/>
    <w:rsid w:val="00C44168"/>
    <w:rsid w:val="00C57979"/>
    <w:rsid w:val="00C63A75"/>
    <w:rsid w:val="00C73774"/>
    <w:rsid w:val="00CB0E7D"/>
    <w:rsid w:val="00CC3F7E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D2831"/>
    <w:rsid w:val="00DD4D31"/>
    <w:rsid w:val="00DE4B5D"/>
    <w:rsid w:val="00E00C58"/>
    <w:rsid w:val="00E301A8"/>
    <w:rsid w:val="00E42B7B"/>
    <w:rsid w:val="00E56A22"/>
    <w:rsid w:val="00E6613B"/>
    <w:rsid w:val="00E728FE"/>
    <w:rsid w:val="00E95E7A"/>
    <w:rsid w:val="00EA7565"/>
    <w:rsid w:val="00EB2464"/>
    <w:rsid w:val="00EB602F"/>
    <w:rsid w:val="00EC4479"/>
    <w:rsid w:val="00ED2FA1"/>
    <w:rsid w:val="00ED69F4"/>
    <w:rsid w:val="00EE62BE"/>
    <w:rsid w:val="00F24594"/>
    <w:rsid w:val="00F47D93"/>
    <w:rsid w:val="00F642A1"/>
    <w:rsid w:val="00F7732C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155</cp:revision>
  <cp:lastPrinted>2025-02-06T23:09:00Z</cp:lastPrinted>
  <dcterms:created xsi:type="dcterms:W3CDTF">2024-02-01T19:37:00Z</dcterms:created>
  <dcterms:modified xsi:type="dcterms:W3CDTF">2025-02-06T23:10:00Z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