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BB56A" w14:textId="228412D7" w:rsidR="003C58C1" w:rsidRPr="00FD0B92" w:rsidRDefault="003C58C1" w:rsidP="003C58C1">
      <w:pPr>
        <w:rPr>
          <w:rFonts w:ascii="Verdana" w:hAnsi="Verdana"/>
          <w:sz w:val="48"/>
          <w:szCs w:val="40"/>
        </w:rPr>
      </w:pPr>
      <w:bookmarkStart w:id="0" w:name="_GoBack"/>
      <w:bookmarkEnd w:id="0"/>
    </w:p>
    <w:p w14:paraId="4695C6E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Informe de Ejecución Presupuestaria </w:t>
      </w:r>
    </w:p>
    <w:p w14:paraId="7F65A857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Viceministerio</w:t>
      </w:r>
    </w:p>
    <w:p w14:paraId="7AFD3CC3" w14:textId="39C7E6DD" w:rsidR="003C58C1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 Administrativo y Financiero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</w:t>
      </w:r>
    </w:p>
    <w:p w14:paraId="6010F215" w14:textId="45A12CE2" w:rsidR="003C58C1" w:rsidRPr="00FD0B92" w:rsidRDefault="008719D3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>
        <w:rPr>
          <w:rFonts w:ascii="Verdana" w:hAnsi="Verdana" w:cs="Arial"/>
          <w:b/>
          <w:color w:val="002060"/>
          <w:sz w:val="48"/>
          <w:szCs w:val="40"/>
        </w:rPr>
        <w:t>Septiembre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de 2024</w:t>
      </w:r>
    </w:p>
    <w:p w14:paraId="0524098B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B58FFA8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28EBAEA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48A57D4C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57D439A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3197150E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Ministerio de Economía</w:t>
      </w:r>
    </w:p>
    <w:p w14:paraId="0C0F9713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4CDD0C79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4A60A5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0E86FBF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013C3B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91190E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Dirección Financiera</w:t>
      </w:r>
    </w:p>
    <w:p w14:paraId="61EFDF46" w14:textId="6AE3F785" w:rsidR="003C58C1" w:rsidRPr="00FD0B92" w:rsidRDefault="003C58C1" w:rsidP="003C58C1">
      <w:pPr>
        <w:rPr>
          <w:rFonts w:ascii="Verdana" w:hAnsi="Verdana" w:cs="Arial"/>
          <w:b/>
          <w:sz w:val="48"/>
          <w:szCs w:val="40"/>
        </w:rPr>
      </w:pPr>
    </w:p>
    <w:p w14:paraId="469BA71F" w14:textId="5B71B9E7" w:rsidR="00D0390A" w:rsidRPr="00FD0B92" w:rsidRDefault="00D0390A" w:rsidP="003C58C1">
      <w:pPr>
        <w:rPr>
          <w:rFonts w:ascii="Verdana" w:hAnsi="Verdana" w:cs="Arial"/>
          <w:b/>
          <w:sz w:val="48"/>
          <w:szCs w:val="40"/>
        </w:rPr>
      </w:pPr>
    </w:p>
    <w:p w14:paraId="34F5CA34" w14:textId="77777777" w:rsidR="002C7F50" w:rsidRPr="0010018F" w:rsidRDefault="002C7F50" w:rsidP="003C58C1">
      <w:pPr>
        <w:rPr>
          <w:rFonts w:ascii="Verdana" w:hAnsi="Verdana" w:cs="Arial"/>
          <w:b/>
        </w:rPr>
      </w:pPr>
    </w:p>
    <w:p w14:paraId="472CFDF9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241806C9" w14:textId="32EFE63B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DEL </w:t>
      </w:r>
      <w:r w:rsidR="00A0775C"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48C911E1" w14:textId="798DD42E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 </w:t>
      </w:r>
      <w:r w:rsidR="008719D3">
        <w:rPr>
          <w:rFonts w:ascii="Verdana" w:hAnsi="Verdana" w:cs="Arial"/>
          <w:b/>
          <w:lang w:val="es-MX"/>
        </w:rPr>
        <w:t>SEPTIEMBRE</w:t>
      </w:r>
      <w:r w:rsidR="0010018F">
        <w:rPr>
          <w:rFonts w:ascii="Verdana" w:hAnsi="Verdana" w:cs="Arial"/>
          <w:b/>
          <w:lang w:val="es-MX"/>
        </w:rPr>
        <w:t xml:space="preserve"> DE 2024</w:t>
      </w:r>
    </w:p>
    <w:p w14:paraId="64BFBBCE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2A94AA39" w14:textId="77777777" w:rsidR="003C58C1" w:rsidRPr="0010018F" w:rsidRDefault="003C58C1" w:rsidP="003C58C1">
      <w:pPr>
        <w:pStyle w:val="Sinespaciado"/>
        <w:jc w:val="both"/>
        <w:rPr>
          <w:rFonts w:ascii="Verdana" w:eastAsiaTheme="minorEastAsia" w:hAnsi="Verdana" w:cs="Arial"/>
          <w:sz w:val="24"/>
          <w:szCs w:val="24"/>
          <w:lang w:eastAsia="es-GT"/>
        </w:rPr>
      </w:pPr>
      <w:r w:rsidRPr="0010018F">
        <w:rPr>
          <w:rFonts w:ascii="Verdana" w:eastAsiaTheme="minorEastAsia" w:hAnsi="Verdana" w:cs="Arial"/>
          <w:sz w:val="24"/>
          <w:szCs w:val="24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Verdana" w:eastAsiaTheme="minorEastAsia" w:hAnsi="Verdana" w:cs="Arial"/>
            <w:sz w:val="24"/>
            <w:szCs w:val="24"/>
            <w:lang w:eastAsia="es-GT"/>
          </w:rPr>
          <w:id w:val="-594325228"/>
          <w:citation/>
        </w:sdtPr>
        <w:sdtEndPr/>
        <w:sdtContent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begin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instrText xml:space="preserve"> CITATION Ley97 \l 4106 </w:instrTex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separate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t>(Ley del Organismo Ejecutivo, 1997)</w: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end"/>
          </w:r>
        </w:sdtContent>
      </w:sdt>
    </w:p>
    <w:p w14:paraId="2453252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4C3FCFE" w14:textId="37E36AC1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>Para lograr su objetivo cuenta con 5 Viceministerios los cuales cada uno tiene presupuesto asignado, pero a su vez a nivel administrativo cuenta con unidades de apoyo que se consolida</w:t>
      </w:r>
      <w:r w:rsidR="00835ABF" w:rsidRPr="0010018F">
        <w:rPr>
          <w:rFonts w:ascii="Verdana" w:eastAsia="Calibri" w:hAnsi="Verdana" w:cs="Arial"/>
          <w:szCs w:val="24"/>
          <w:lang w:val="es-MX" w:eastAsia="en-US"/>
        </w:rPr>
        <w:t>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en el Despacho Superior. </w:t>
      </w:r>
    </w:p>
    <w:p w14:paraId="0DCD50E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18A4687C" w14:textId="15DFAF4B" w:rsidR="003C58C1" w:rsidRPr="0010018F" w:rsidRDefault="00D55C6F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>Al Viceministerio Administrativo y Financiero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le fue asignado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presupuesto por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>l</w:t>
      </w:r>
      <w:r w:rsidR="00323D37">
        <w:rPr>
          <w:rFonts w:ascii="Verdana" w:eastAsia="Calibri" w:hAnsi="Verdana" w:cs="Arial"/>
          <w:szCs w:val="24"/>
          <w:lang w:val="es-MX" w:eastAsia="en-US"/>
        </w:rPr>
        <w:t>a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23D37">
        <w:rPr>
          <w:rFonts w:ascii="Verdana" w:eastAsia="Calibri" w:hAnsi="Verdana" w:cs="Arial"/>
          <w:szCs w:val="24"/>
          <w:lang w:val="es-MX" w:eastAsia="en-US"/>
        </w:rPr>
        <w:t>cantidad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de </w:t>
      </w:r>
      <w:proofErr w:type="spellStart"/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>Q188,688,825</w:t>
      </w:r>
      <w:proofErr w:type="spellEnd"/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84850">
        <w:rPr>
          <w:rFonts w:ascii="Verdana" w:eastAsia="Calibri" w:hAnsi="Verdana" w:cs="Arial"/>
          <w:szCs w:val="24"/>
          <w:lang w:val="es-MX" w:eastAsia="en-US"/>
        </w:rPr>
        <w:t>de lo cual se cedió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presupuesto por la cantidad de Q-106,285.00</w:t>
      </w:r>
      <w:r w:rsidR="00C8485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23D37">
        <w:rPr>
          <w:rFonts w:ascii="Verdana" w:eastAsia="Calibri" w:hAnsi="Verdana" w:cs="Arial"/>
          <w:szCs w:val="24"/>
          <w:lang w:val="es-MX" w:eastAsia="en-US"/>
        </w:rPr>
        <w:t>para cubrir el pago de nómina de otras Unidades Ejecutoras,</w:t>
      </w:r>
      <w:r w:rsidR="00C84850">
        <w:rPr>
          <w:rFonts w:ascii="Verdana" w:eastAsia="Calibri" w:hAnsi="Verdana" w:cs="Arial"/>
          <w:szCs w:val="24"/>
          <w:lang w:val="es-MX" w:eastAsia="en-US"/>
        </w:rPr>
        <w:t xml:space="preserve"> contando con un presupuesto vigente por la cantidad de </w:t>
      </w:r>
      <w:proofErr w:type="spellStart"/>
      <w:r w:rsidR="00C84850" w:rsidRPr="00C84850">
        <w:rPr>
          <w:rFonts w:ascii="Verdana" w:eastAsia="Calibri" w:hAnsi="Verdana" w:cs="Arial"/>
          <w:b/>
          <w:szCs w:val="24"/>
          <w:lang w:val="es-MX" w:eastAsia="en-US"/>
        </w:rPr>
        <w:t>Q188.5</w:t>
      </w:r>
      <w:proofErr w:type="spellEnd"/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84850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de lo cual al cierre de </w:t>
      </w:r>
      <w:r w:rsidR="005423E5">
        <w:rPr>
          <w:rFonts w:ascii="Verdana" w:eastAsia="Calibri" w:hAnsi="Verdana" w:cs="Arial"/>
          <w:szCs w:val="24"/>
          <w:lang w:val="es-MX" w:eastAsia="en-US"/>
        </w:rPr>
        <w:t>septiembre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se reportó una ejecución de gastos de </w:t>
      </w:r>
      <w:proofErr w:type="spellStart"/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5423E5">
        <w:rPr>
          <w:rFonts w:ascii="Verdana" w:eastAsia="Calibri" w:hAnsi="Verdana" w:cs="Arial"/>
          <w:b/>
          <w:szCs w:val="24"/>
          <w:lang w:val="es-MX" w:eastAsia="en-US"/>
        </w:rPr>
        <w:t>105.1</w:t>
      </w:r>
      <w:proofErr w:type="spellEnd"/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millones, lo que representa el </w:t>
      </w:r>
      <w:r w:rsidR="006014DF">
        <w:rPr>
          <w:rFonts w:ascii="Verdana" w:eastAsia="Calibri" w:hAnsi="Verdana" w:cs="Arial"/>
          <w:b/>
          <w:szCs w:val="24"/>
          <w:lang w:val="es-MX" w:eastAsia="en-US"/>
        </w:rPr>
        <w:t>55</w:t>
      </w:r>
      <w:r w:rsidR="005423E5">
        <w:rPr>
          <w:rFonts w:ascii="Verdana" w:eastAsia="Calibri" w:hAnsi="Verdana" w:cs="Arial"/>
          <w:b/>
          <w:szCs w:val="24"/>
          <w:lang w:val="es-MX" w:eastAsia="en-US"/>
        </w:rPr>
        <w:t>.78</w:t>
      </w:r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>%.</w:t>
      </w:r>
    </w:p>
    <w:p w14:paraId="76491EFB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6E367D64" w14:textId="675D8CCC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1</w:t>
      </w:r>
    </w:p>
    <w:p w14:paraId="0AEF5A16" w14:textId="6CD8038E" w:rsidR="0008228E" w:rsidRPr="0010018F" w:rsidRDefault="0008228E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B75490F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Ejecución Presupuestaria</w:t>
      </w:r>
    </w:p>
    <w:p w14:paraId="1D80954D" w14:textId="097260F1" w:rsidR="003C58C1" w:rsidRPr="0010018F" w:rsidRDefault="00067FD4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63E79958" wp14:editId="4EF18CD2">
            <wp:extent cx="3345489" cy="22415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11" cy="2249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DE9D7" w14:textId="77777777" w:rsidR="006014DF" w:rsidRPr="006014DF" w:rsidRDefault="006014DF" w:rsidP="003C58C1">
      <w:pPr>
        <w:jc w:val="center"/>
        <w:rPr>
          <w:rFonts w:ascii="Verdana" w:hAnsi="Verdana" w:cs="Arial"/>
          <w:b/>
          <w:sz w:val="8"/>
          <w:lang w:val="es-MX"/>
        </w:rPr>
      </w:pPr>
    </w:p>
    <w:p w14:paraId="48928AB7" w14:textId="0C66B2C4" w:rsidR="003C58C1" w:rsidRDefault="003C58C1" w:rsidP="003C58C1">
      <w:pPr>
        <w:jc w:val="center"/>
        <w:rPr>
          <w:rFonts w:ascii="Verdana" w:hAnsi="Verdana" w:cs="Arial"/>
          <w:sz w:val="16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</w:t>
      </w:r>
      <w:r w:rsidR="003D10AA" w:rsidRPr="006014DF">
        <w:rPr>
          <w:rFonts w:ascii="Verdana" w:hAnsi="Verdana" w:cs="Arial"/>
          <w:sz w:val="14"/>
          <w:lang w:val="es-MX"/>
        </w:rPr>
        <w:t>tema de Contabilidad Integrada</w:t>
      </w:r>
      <w:r w:rsidR="00C141C8">
        <w:rPr>
          <w:rFonts w:ascii="Verdana" w:hAnsi="Verdana" w:cs="Arial"/>
          <w:sz w:val="14"/>
          <w:lang w:val="es-MX"/>
        </w:rPr>
        <w:t xml:space="preserve"> (Sicoin) 01</w:t>
      </w:r>
      <w:r w:rsidR="006014DF" w:rsidRPr="006014DF">
        <w:rPr>
          <w:rFonts w:ascii="Verdana" w:hAnsi="Verdana" w:cs="Arial"/>
          <w:sz w:val="14"/>
          <w:lang w:val="es-MX"/>
        </w:rPr>
        <w:t>/</w:t>
      </w:r>
      <w:r w:rsidR="00C141C8">
        <w:rPr>
          <w:rFonts w:ascii="Verdana" w:hAnsi="Verdana" w:cs="Arial"/>
          <w:sz w:val="14"/>
          <w:lang w:val="es-MX"/>
        </w:rPr>
        <w:t>1</w:t>
      </w:r>
      <w:r w:rsidR="006014DF" w:rsidRPr="006014DF">
        <w:rPr>
          <w:rFonts w:ascii="Verdana" w:hAnsi="Verdana" w:cs="Arial"/>
          <w:sz w:val="14"/>
          <w:lang w:val="es-MX"/>
        </w:rPr>
        <w:t xml:space="preserve">0/2024 </w:t>
      </w:r>
      <w:r w:rsidR="00C141C8">
        <w:rPr>
          <w:rFonts w:ascii="Verdana" w:hAnsi="Verdana" w:cs="Arial"/>
          <w:sz w:val="14"/>
          <w:lang w:val="es-MX"/>
        </w:rPr>
        <w:t>8</w:t>
      </w:r>
      <w:r w:rsidR="006014DF" w:rsidRPr="006014DF">
        <w:rPr>
          <w:rFonts w:ascii="Verdana" w:hAnsi="Verdana" w:cs="Arial"/>
          <w:sz w:val="14"/>
          <w:lang w:val="es-MX"/>
        </w:rPr>
        <w:t>:05</w:t>
      </w:r>
    </w:p>
    <w:p w14:paraId="12097ABE" w14:textId="64975C1C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Gráfica No. 2</w:t>
      </w:r>
    </w:p>
    <w:p w14:paraId="1DB58AE5" w14:textId="7CCAA0AA" w:rsidR="0029077D" w:rsidRPr="0010018F" w:rsidRDefault="0029077D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10B68AF1" w14:textId="317374E3" w:rsidR="003C58C1" w:rsidRDefault="00A278F5" w:rsidP="003C58C1">
      <w:pPr>
        <w:jc w:val="center"/>
        <w:rPr>
          <w:rFonts w:ascii="Verdana" w:hAnsi="Verdana" w:cs="Arial"/>
          <w:b/>
          <w:lang w:val="es-MX"/>
        </w:rPr>
      </w:pPr>
      <w:r w:rsidRPr="00A278F5">
        <w:drawing>
          <wp:anchor distT="0" distB="0" distL="114300" distR="114300" simplePos="0" relativeHeight="251658240" behindDoc="1" locked="0" layoutInCell="1" allowOverlap="1" wp14:anchorId="3016D6F7" wp14:editId="5E376956">
            <wp:simplePos x="0" y="0"/>
            <wp:positionH relativeFrom="margin">
              <wp:posOffset>-756285</wp:posOffset>
            </wp:positionH>
            <wp:positionV relativeFrom="paragraph">
              <wp:posOffset>348615</wp:posOffset>
            </wp:positionV>
            <wp:extent cx="7048500" cy="5060950"/>
            <wp:effectExtent l="0" t="0" r="0" b="6350"/>
            <wp:wrapTight wrapText="bothSides">
              <wp:wrapPolygon edited="0">
                <wp:start x="0" y="0"/>
                <wp:lineTo x="0" y="21546"/>
                <wp:lineTo x="21542" y="21546"/>
                <wp:lineTo x="2154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C1" w:rsidRPr="0010018F">
        <w:rPr>
          <w:rFonts w:ascii="Verdana" w:hAnsi="Verdana" w:cs="Arial"/>
          <w:b/>
          <w:lang w:val="es-MX"/>
        </w:rPr>
        <w:t>Ejecución Presupuestaria</w:t>
      </w:r>
    </w:p>
    <w:p w14:paraId="133A9D04" w14:textId="61A92814" w:rsidR="00A278F5" w:rsidRPr="00A278F5" w:rsidRDefault="00A278F5" w:rsidP="00A278F5">
      <w:pPr>
        <w:rPr>
          <w:rFonts w:ascii="Verdana" w:hAnsi="Verdana" w:cs="Arial"/>
          <w:lang w:val="es-MX"/>
        </w:rPr>
      </w:pPr>
    </w:p>
    <w:p w14:paraId="306C8A5D" w14:textId="5908FCFF" w:rsidR="00884387" w:rsidRPr="0010018F" w:rsidRDefault="00A278F5" w:rsidP="003C58C1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(Sicoin) 01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08F30045" w14:textId="77777777" w:rsidR="00884387" w:rsidRPr="0010018F" w:rsidRDefault="00884387" w:rsidP="003C58C1">
      <w:pPr>
        <w:jc w:val="center"/>
        <w:rPr>
          <w:rFonts w:ascii="Verdana" w:hAnsi="Verdana" w:cs="Arial"/>
          <w:lang w:val="es-MX"/>
        </w:rPr>
      </w:pPr>
    </w:p>
    <w:p w14:paraId="75F4A32A" w14:textId="77777777" w:rsidR="00065455" w:rsidRPr="0010018F" w:rsidRDefault="00065455" w:rsidP="003C58C1">
      <w:pPr>
        <w:jc w:val="both"/>
        <w:rPr>
          <w:rFonts w:ascii="Verdana" w:hAnsi="Verdana" w:cs="Arial"/>
          <w:lang w:val="es-MX"/>
        </w:rPr>
      </w:pPr>
    </w:p>
    <w:p w14:paraId="761C2F23" w14:textId="3AE0D919" w:rsidR="003C58C1" w:rsidRDefault="00F83C31" w:rsidP="003C58C1">
      <w:pPr>
        <w:jc w:val="both"/>
        <w:rPr>
          <w:rFonts w:ascii="Verdana" w:hAnsi="Verdana"/>
        </w:rPr>
      </w:pPr>
      <w:r w:rsidRPr="0010018F">
        <w:rPr>
          <w:rFonts w:ascii="Verdana" w:hAnsi="Verdana" w:cs="Arial"/>
          <w:lang w:val="es-MX"/>
        </w:rPr>
        <w:t xml:space="preserve">El cuadro No. 1 presenta la ejecución presupuestaria de los gastos del Viceministerio Administrativo y Financiero, </w:t>
      </w:r>
      <w:r w:rsidR="003C58C1" w:rsidRPr="0010018F">
        <w:rPr>
          <w:rFonts w:ascii="Verdana" w:hAnsi="Verdana" w:cs="Arial"/>
          <w:lang w:val="es-MX"/>
        </w:rPr>
        <w:t>l</w:t>
      </w:r>
      <w:r w:rsidRPr="0010018F">
        <w:rPr>
          <w:rFonts w:ascii="Verdana" w:hAnsi="Verdana" w:cs="Arial"/>
          <w:lang w:val="es-MX"/>
        </w:rPr>
        <w:t>o</w:t>
      </w:r>
      <w:r w:rsidR="003C58C1" w:rsidRPr="0010018F">
        <w:rPr>
          <w:rFonts w:ascii="Verdana" w:hAnsi="Verdana" w:cs="Arial"/>
          <w:lang w:val="es-MX"/>
        </w:rPr>
        <w:t>s que</w:t>
      </w:r>
      <w:r w:rsidRPr="0010018F">
        <w:rPr>
          <w:rFonts w:ascii="Verdana" w:hAnsi="Verdana" w:cs="Arial"/>
          <w:lang w:val="es-MX"/>
        </w:rPr>
        <w:t xml:space="preserve"> en</w:t>
      </w:r>
      <w:r w:rsidR="003C58C1" w:rsidRPr="0010018F">
        <w:rPr>
          <w:rFonts w:ascii="Verdana" w:hAnsi="Verdana" w:cs="Arial"/>
          <w:lang w:val="es-MX"/>
        </w:rPr>
        <w:t xml:space="preserve"> su mayoría s</w:t>
      </w:r>
      <w:r w:rsidR="00EB4305" w:rsidRPr="0010018F">
        <w:rPr>
          <w:rFonts w:ascii="Verdana" w:hAnsi="Verdana" w:cs="Arial"/>
          <w:lang w:val="es-MX"/>
        </w:rPr>
        <w:t>e concentran en pago de nómina,</w:t>
      </w:r>
      <w:r w:rsidR="003C58C1" w:rsidRPr="0010018F">
        <w:rPr>
          <w:rFonts w:ascii="Verdana" w:hAnsi="Verdana" w:cs="Arial"/>
          <w:lang w:val="es-MX"/>
        </w:rPr>
        <w:t xml:space="preserve"> servicios</w:t>
      </w:r>
      <w:r w:rsidR="00241FB3" w:rsidRPr="0010018F">
        <w:rPr>
          <w:rFonts w:ascii="Verdana" w:hAnsi="Verdana" w:cs="Arial"/>
          <w:lang w:val="es-MX"/>
        </w:rPr>
        <w:t>,</w:t>
      </w:r>
      <w:r w:rsidR="00D020F9">
        <w:rPr>
          <w:rFonts w:ascii="Verdana" w:hAnsi="Verdana" w:cs="Arial"/>
          <w:lang w:val="es-MX"/>
        </w:rPr>
        <w:t xml:space="preserve"> transferencias a entes receptores de transferencias corrientes y de capital</w:t>
      </w:r>
      <w:r w:rsidR="00241FB3" w:rsidRPr="0010018F">
        <w:rPr>
          <w:rFonts w:ascii="Verdana" w:hAnsi="Verdana" w:cs="Arial"/>
          <w:lang w:val="es-MX"/>
        </w:rPr>
        <w:t xml:space="preserve"> y sentencias judiciales</w:t>
      </w:r>
      <w:r w:rsidR="003C58C1" w:rsidRPr="0010018F">
        <w:rPr>
          <w:rFonts w:ascii="Verdana" w:hAnsi="Verdana" w:cs="Arial"/>
          <w:lang w:val="es-MX"/>
        </w:rPr>
        <w:t>:</w:t>
      </w:r>
    </w:p>
    <w:p w14:paraId="3249555D" w14:textId="7273FF14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Cuadro No. 1</w:t>
      </w:r>
    </w:p>
    <w:p w14:paraId="762317AB" w14:textId="7D0BB7B6" w:rsidR="00A0775C" w:rsidRPr="0010018F" w:rsidRDefault="00A0775C" w:rsidP="00A0775C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28494069" w14:textId="528AE381" w:rsidR="003C58C1" w:rsidRPr="0010018F" w:rsidRDefault="005E467A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Presupuesto por Dependencias</w:t>
      </w:r>
      <w:r w:rsidR="004D6840" w:rsidRPr="0010018F">
        <w:rPr>
          <w:rFonts w:ascii="Verdana" w:hAnsi="Verdana" w:cs="Arial"/>
          <w:b/>
          <w:lang w:val="es-MX"/>
        </w:rPr>
        <w:t xml:space="preserve"> y</w:t>
      </w:r>
      <w:r w:rsidR="003C58C1" w:rsidRPr="0010018F">
        <w:rPr>
          <w:rFonts w:ascii="Verdana" w:hAnsi="Verdana" w:cs="Arial"/>
          <w:b/>
          <w:lang w:val="es-MX"/>
        </w:rPr>
        <w:t xml:space="preserve"> grupo de gasto</w:t>
      </w:r>
    </w:p>
    <w:p w14:paraId="25231C80" w14:textId="204C7E14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  </w:t>
      </w:r>
    </w:p>
    <w:p w14:paraId="4F092C19" w14:textId="15232F88" w:rsidR="003C58C1" w:rsidRPr="0010018F" w:rsidRDefault="007C3871" w:rsidP="003C58C1">
      <w:pPr>
        <w:jc w:val="center"/>
        <w:rPr>
          <w:rFonts w:ascii="Verdana" w:hAnsi="Verdana"/>
          <w:noProof/>
          <w:lang w:eastAsia="es-GT"/>
        </w:rPr>
      </w:pPr>
      <w:r w:rsidRPr="007C3871">
        <w:drawing>
          <wp:inline distT="0" distB="0" distL="0" distR="0" wp14:anchorId="026DB759" wp14:editId="46981AF8">
            <wp:extent cx="5731510" cy="659130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11" cy="659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8A45B" w14:textId="77777777" w:rsidR="008147DB" w:rsidRDefault="008147DB" w:rsidP="003C58C1">
      <w:pPr>
        <w:jc w:val="center"/>
        <w:rPr>
          <w:rFonts w:ascii="Verdana" w:hAnsi="Verdana" w:cs="Arial"/>
          <w:b/>
          <w:sz w:val="16"/>
          <w:lang w:val="es-MX"/>
        </w:rPr>
      </w:pPr>
    </w:p>
    <w:p w14:paraId="13D96642" w14:textId="09724E80" w:rsidR="00AE1BA2" w:rsidRPr="0010018F" w:rsidRDefault="00A278F5" w:rsidP="008147DB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(Sicoin) 01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008843C1" w14:textId="732B6081" w:rsidR="003C58C1" w:rsidRDefault="0063380F" w:rsidP="003C58C1">
      <w:pPr>
        <w:jc w:val="both"/>
        <w:rPr>
          <w:rFonts w:ascii="Verdana" w:hAnsi="Verdana" w:cs="Arial"/>
          <w:lang w:val="es-MX"/>
        </w:rPr>
      </w:pPr>
      <w:r w:rsidRPr="0010018F">
        <w:rPr>
          <w:rFonts w:ascii="Verdana" w:hAnsi="Verdana" w:cs="Arial"/>
          <w:lang w:val="es-MX"/>
        </w:rPr>
        <w:lastRenderedPageBreak/>
        <w:t>El cuadro No. 2</w:t>
      </w:r>
      <w:r w:rsidR="003C58C1" w:rsidRPr="0010018F">
        <w:rPr>
          <w:rFonts w:ascii="Verdana" w:hAnsi="Verdana" w:cs="Arial"/>
          <w:lang w:val="es-MX"/>
        </w:rPr>
        <w:t xml:space="preserve"> detalla el comportamiento del uso de las cuotas financieras por las distintas fuentes de financiamiento:</w:t>
      </w:r>
    </w:p>
    <w:p w14:paraId="62223AC2" w14:textId="77777777" w:rsidR="006B6611" w:rsidRPr="0010018F" w:rsidRDefault="006B6611" w:rsidP="003C58C1">
      <w:pPr>
        <w:jc w:val="both"/>
        <w:rPr>
          <w:rFonts w:ascii="Verdana" w:hAnsi="Verdana" w:cs="Arial"/>
          <w:lang w:val="es-MX"/>
        </w:rPr>
      </w:pPr>
    </w:p>
    <w:p w14:paraId="239BC046" w14:textId="6A661757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Cuadro No. 2</w:t>
      </w:r>
    </w:p>
    <w:p w14:paraId="1B09E94D" w14:textId="6C508250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5982D073" w14:textId="0A83BB33" w:rsidR="005E467A" w:rsidRPr="0010018F" w:rsidRDefault="005E467A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Informe de Ejecución de Cuota Financiera</w:t>
      </w:r>
    </w:p>
    <w:p w14:paraId="6211E536" w14:textId="11100CCD" w:rsidR="0063380F" w:rsidRPr="0010018F" w:rsidRDefault="0063380F" w:rsidP="003C58C1">
      <w:pPr>
        <w:rPr>
          <w:rFonts w:ascii="Verdana" w:hAnsi="Verdana"/>
          <w:noProof/>
          <w:lang w:eastAsia="es-GT"/>
        </w:rPr>
      </w:pPr>
    </w:p>
    <w:p w14:paraId="3C07697F" w14:textId="570B78C6" w:rsidR="002669D7" w:rsidRPr="0010018F" w:rsidRDefault="008F3EFC" w:rsidP="003C58C1">
      <w:pPr>
        <w:jc w:val="center"/>
        <w:rPr>
          <w:rFonts w:ascii="Verdana" w:hAnsi="Verdana" w:cs="Arial"/>
          <w:b/>
          <w:lang w:val="es-MX"/>
        </w:rPr>
      </w:pPr>
      <w:r w:rsidRPr="008F3EFC">
        <w:drawing>
          <wp:inline distT="0" distB="0" distL="0" distR="0" wp14:anchorId="3441F0B8" wp14:editId="391A5C54">
            <wp:extent cx="5611804" cy="2197100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456" cy="21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9C5E" w14:textId="77777777" w:rsidR="002669D7" w:rsidRDefault="002669D7" w:rsidP="003C58C1">
      <w:pPr>
        <w:jc w:val="center"/>
        <w:rPr>
          <w:rFonts w:ascii="Verdana" w:hAnsi="Verdana" w:cs="Arial"/>
          <w:b/>
          <w:sz w:val="16"/>
          <w:lang w:val="es-MX"/>
        </w:rPr>
      </w:pPr>
    </w:p>
    <w:p w14:paraId="53590958" w14:textId="675E5A0F" w:rsidR="003C58C1" w:rsidRPr="0010018F" w:rsidRDefault="008F3EFC" w:rsidP="002669D7">
      <w:pPr>
        <w:jc w:val="center"/>
        <w:rPr>
          <w:rFonts w:ascii="Verdana" w:hAnsi="Verdana" w:cs="Arial"/>
          <w:b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(Sicoin) 01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0/2024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19C85F38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36F9B08D" w14:textId="77777777" w:rsidR="003C58C1" w:rsidRPr="0010018F" w:rsidRDefault="003C58C1" w:rsidP="003C58C1">
      <w:pPr>
        <w:rPr>
          <w:rFonts w:ascii="Verdana" w:hAnsi="Verdana" w:cs="Arial"/>
          <w:lang w:val="es-MX"/>
        </w:rPr>
      </w:pPr>
    </w:p>
    <w:p w14:paraId="23F6D675" w14:textId="77777777" w:rsidR="003C58C1" w:rsidRPr="0010018F" w:rsidRDefault="003C58C1" w:rsidP="003C58C1">
      <w:pPr>
        <w:rPr>
          <w:rFonts w:ascii="Verdana" w:hAnsi="Verdana"/>
        </w:rPr>
      </w:pPr>
    </w:p>
    <w:p w14:paraId="4F8E1A0C" w14:textId="77777777" w:rsidR="003C58C1" w:rsidRPr="0010018F" w:rsidRDefault="003C58C1" w:rsidP="003C58C1">
      <w:pPr>
        <w:rPr>
          <w:rFonts w:ascii="Verdana" w:hAnsi="Verdana"/>
        </w:rPr>
      </w:pPr>
    </w:p>
    <w:p w14:paraId="198A2C82" w14:textId="77777777" w:rsidR="003C58C1" w:rsidRPr="0010018F" w:rsidRDefault="003C58C1" w:rsidP="003C58C1">
      <w:pPr>
        <w:rPr>
          <w:rFonts w:ascii="Verdana" w:hAnsi="Verdana"/>
        </w:rPr>
      </w:pPr>
    </w:p>
    <w:p w14:paraId="64DA2B26" w14:textId="77777777" w:rsidR="003C58C1" w:rsidRPr="0010018F" w:rsidRDefault="003C58C1" w:rsidP="003C58C1">
      <w:pPr>
        <w:rPr>
          <w:rFonts w:ascii="Verdana" w:hAnsi="Verdana"/>
        </w:rPr>
      </w:pPr>
    </w:p>
    <w:p w14:paraId="20B64C4A" w14:textId="77777777" w:rsidR="003C58C1" w:rsidRPr="0010018F" w:rsidRDefault="003C58C1" w:rsidP="003C58C1">
      <w:pPr>
        <w:rPr>
          <w:rFonts w:ascii="Verdana" w:hAnsi="Verdana"/>
        </w:rPr>
      </w:pPr>
    </w:p>
    <w:p w14:paraId="0C99738D" w14:textId="77777777" w:rsidR="003C58C1" w:rsidRPr="0010018F" w:rsidRDefault="003C58C1" w:rsidP="003C58C1">
      <w:pPr>
        <w:rPr>
          <w:rFonts w:ascii="Verdana" w:hAnsi="Verdana"/>
        </w:rPr>
      </w:pPr>
    </w:p>
    <w:p w14:paraId="75F29254" w14:textId="77777777" w:rsidR="003C58C1" w:rsidRPr="0010018F" w:rsidRDefault="003C58C1" w:rsidP="003C58C1">
      <w:pPr>
        <w:rPr>
          <w:rFonts w:ascii="Verdana" w:hAnsi="Verdana"/>
        </w:rPr>
      </w:pPr>
    </w:p>
    <w:p w14:paraId="75E4A3DD" w14:textId="77777777" w:rsidR="003C58C1" w:rsidRPr="0010018F" w:rsidRDefault="003C58C1" w:rsidP="003C58C1">
      <w:pPr>
        <w:rPr>
          <w:rFonts w:ascii="Verdana" w:hAnsi="Verdana"/>
        </w:rPr>
      </w:pPr>
    </w:p>
    <w:p w14:paraId="5F6F3F28" w14:textId="77777777" w:rsidR="003C58C1" w:rsidRPr="0010018F" w:rsidRDefault="003C58C1" w:rsidP="003C58C1">
      <w:pPr>
        <w:rPr>
          <w:rFonts w:ascii="Verdana" w:hAnsi="Verdana"/>
        </w:rPr>
      </w:pPr>
    </w:p>
    <w:p w14:paraId="49D6D4B2" w14:textId="77777777" w:rsidR="003C58C1" w:rsidRPr="0010018F" w:rsidRDefault="003C58C1" w:rsidP="003C58C1">
      <w:pPr>
        <w:rPr>
          <w:rFonts w:ascii="Verdana" w:hAnsi="Verdana"/>
        </w:rPr>
      </w:pPr>
    </w:p>
    <w:p w14:paraId="51AA9178" w14:textId="77777777" w:rsidR="003C58C1" w:rsidRPr="0010018F" w:rsidRDefault="003C58C1" w:rsidP="003C58C1">
      <w:pPr>
        <w:rPr>
          <w:rFonts w:ascii="Verdana" w:hAnsi="Verdana"/>
        </w:rPr>
      </w:pPr>
    </w:p>
    <w:p w14:paraId="179B9C83" w14:textId="77777777" w:rsidR="003C58C1" w:rsidRPr="0010018F" w:rsidRDefault="003C58C1" w:rsidP="003C58C1">
      <w:pPr>
        <w:rPr>
          <w:rFonts w:ascii="Verdana" w:hAnsi="Verdana"/>
        </w:rPr>
      </w:pPr>
    </w:p>
    <w:p w14:paraId="47D000FE" w14:textId="77777777" w:rsidR="003C58C1" w:rsidRPr="0010018F" w:rsidRDefault="003C58C1" w:rsidP="003C58C1">
      <w:pPr>
        <w:rPr>
          <w:rFonts w:ascii="Verdana" w:hAnsi="Verdana"/>
        </w:rPr>
      </w:pPr>
    </w:p>
    <w:p w14:paraId="11C2DAFB" w14:textId="77777777" w:rsidR="003C58C1" w:rsidRPr="0010018F" w:rsidRDefault="003C58C1" w:rsidP="003C58C1">
      <w:pPr>
        <w:rPr>
          <w:rFonts w:ascii="Verdana" w:hAnsi="Verdana"/>
        </w:rPr>
      </w:pPr>
    </w:p>
    <w:p w14:paraId="7B578654" w14:textId="77777777" w:rsidR="003C58C1" w:rsidRPr="0010018F" w:rsidRDefault="003C58C1" w:rsidP="003C58C1">
      <w:pPr>
        <w:rPr>
          <w:rFonts w:ascii="Verdana" w:hAnsi="Verdana"/>
        </w:rPr>
      </w:pPr>
      <w:r w:rsidRPr="0010018F">
        <w:rPr>
          <w:rFonts w:ascii="Verdana" w:hAnsi="Verdana"/>
        </w:rPr>
        <w:t xml:space="preserve"> </w:t>
      </w:r>
    </w:p>
    <w:p w14:paraId="0CA7C413" w14:textId="77777777" w:rsidR="00EB2464" w:rsidRPr="0010018F" w:rsidRDefault="00EB2464" w:rsidP="1A98FAC5">
      <w:pPr>
        <w:rPr>
          <w:rFonts w:ascii="Verdana" w:hAnsi="Verdana" w:cs="Times New Roman"/>
        </w:rPr>
      </w:pPr>
    </w:p>
    <w:sectPr w:rsidR="00EB2464" w:rsidRPr="0010018F" w:rsidSect="00423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197E5" w14:textId="77777777" w:rsidR="009B2559" w:rsidRDefault="009B2559" w:rsidP="00950217">
      <w:r>
        <w:separator/>
      </w:r>
    </w:p>
  </w:endnote>
  <w:endnote w:type="continuationSeparator" w:id="0">
    <w:p w14:paraId="1B2CD74F" w14:textId="77777777" w:rsidR="009B2559" w:rsidRDefault="009B2559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70B13" w14:textId="77777777" w:rsidR="009B2559" w:rsidRDefault="009B2559" w:rsidP="00950217">
      <w:r>
        <w:separator/>
      </w:r>
    </w:p>
  </w:footnote>
  <w:footnote w:type="continuationSeparator" w:id="0">
    <w:p w14:paraId="6D231973" w14:textId="77777777" w:rsidR="009B2559" w:rsidRDefault="009B2559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62442"/>
    <w:rsid w:val="00065455"/>
    <w:rsid w:val="00067FD4"/>
    <w:rsid w:val="000710D3"/>
    <w:rsid w:val="0008228E"/>
    <w:rsid w:val="00087890"/>
    <w:rsid w:val="00095311"/>
    <w:rsid w:val="000D76D9"/>
    <w:rsid w:val="0010018F"/>
    <w:rsid w:val="00132BE5"/>
    <w:rsid w:val="00183A5B"/>
    <w:rsid w:val="001C5C06"/>
    <w:rsid w:val="002234DC"/>
    <w:rsid w:val="00232AE0"/>
    <w:rsid w:val="00233659"/>
    <w:rsid w:val="0023402E"/>
    <w:rsid w:val="00241FB3"/>
    <w:rsid w:val="002669D7"/>
    <w:rsid w:val="00283696"/>
    <w:rsid w:val="00283BA1"/>
    <w:rsid w:val="0029077D"/>
    <w:rsid w:val="002C2478"/>
    <w:rsid w:val="002C7F50"/>
    <w:rsid w:val="002D5CD2"/>
    <w:rsid w:val="003076C0"/>
    <w:rsid w:val="00323D37"/>
    <w:rsid w:val="00330FD9"/>
    <w:rsid w:val="00377D36"/>
    <w:rsid w:val="003B0020"/>
    <w:rsid w:val="003C58C1"/>
    <w:rsid w:val="003D10AA"/>
    <w:rsid w:val="003E373F"/>
    <w:rsid w:val="0042301A"/>
    <w:rsid w:val="00451D63"/>
    <w:rsid w:val="004601D8"/>
    <w:rsid w:val="004D6840"/>
    <w:rsid w:val="00507D19"/>
    <w:rsid w:val="005423E5"/>
    <w:rsid w:val="005755DA"/>
    <w:rsid w:val="005A1A74"/>
    <w:rsid w:val="005A3F85"/>
    <w:rsid w:val="005C4EEB"/>
    <w:rsid w:val="005E467A"/>
    <w:rsid w:val="006014DF"/>
    <w:rsid w:val="0063380F"/>
    <w:rsid w:val="006B6611"/>
    <w:rsid w:val="006C630D"/>
    <w:rsid w:val="006E1C78"/>
    <w:rsid w:val="006E32FB"/>
    <w:rsid w:val="00733A93"/>
    <w:rsid w:val="007C3871"/>
    <w:rsid w:val="007E7728"/>
    <w:rsid w:val="007F0D20"/>
    <w:rsid w:val="008147DB"/>
    <w:rsid w:val="00826473"/>
    <w:rsid w:val="00835ABF"/>
    <w:rsid w:val="0084765B"/>
    <w:rsid w:val="00870270"/>
    <w:rsid w:val="008719D3"/>
    <w:rsid w:val="00884387"/>
    <w:rsid w:val="00891D77"/>
    <w:rsid w:val="008973EC"/>
    <w:rsid w:val="008B23D2"/>
    <w:rsid w:val="008E47E2"/>
    <w:rsid w:val="008F3EFC"/>
    <w:rsid w:val="0094053F"/>
    <w:rsid w:val="009457A0"/>
    <w:rsid w:val="00950217"/>
    <w:rsid w:val="009604D8"/>
    <w:rsid w:val="0097181F"/>
    <w:rsid w:val="009A4973"/>
    <w:rsid w:val="009B2559"/>
    <w:rsid w:val="00A07044"/>
    <w:rsid w:val="00A0775C"/>
    <w:rsid w:val="00A278F5"/>
    <w:rsid w:val="00A445F8"/>
    <w:rsid w:val="00A76169"/>
    <w:rsid w:val="00A96E21"/>
    <w:rsid w:val="00AE1BA2"/>
    <w:rsid w:val="00AE291C"/>
    <w:rsid w:val="00BA014C"/>
    <w:rsid w:val="00BA1CBE"/>
    <w:rsid w:val="00BB35A3"/>
    <w:rsid w:val="00BD216F"/>
    <w:rsid w:val="00BE202A"/>
    <w:rsid w:val="00BE4C5C"/>
    <w:rsid w:val="00BE6DE5"/>
    <w:rsid w:val="00C07E0B"/>
    <w:rsid w:val="00C141C8"/>
    <w:rsid w:val="00C414FA"/>
    <w:rsid w:val="00C42C5A"/>
    <w:rsid w:val="00C84850"/>
    <w:rsid w:val="00CA246F"/>
    <w:rsid w:val="00CB079E"/>
    <w:rsid w:val="00CD04A9"/>
    <w:rsid w:val="00CF72F1"/>
    <w:rsid w:val="00D020F9"/>
    <w:rsid w:val="00D0390A"/>
    <w:rsid w:val="00D55C6F"/>
    <w:rsid w:val="00D919C7"/>
    <w:rsid w:val="00DA4990"/>
    <w:rsid w:val="00DC38C1"/>
    <w:rsid w:val="00DC7FC9"/>
    <w:rsid w:val="00E301A8"/>
    <w:rsid w:val="00E377DA"/>
    <w:rsid w:val="00E51136"/>
    <w:rsid w:val="00E52979"/>
    <w:rsid w:val="00E6135C"/>
    <w:rsid w:val="00EB2464"/>
    <w:rsid w:val="00EB343C"/>
    <w:rsid w:val="00EB4305"/>
    <w:rsid w:val="00EC5230"/>
    <w:rsid w:val="00EC71E1"/>
    <w:rsid w:val="00ED2FA1"/>
    <w:rsid w:val="00F021DD"/>
    <w:rsid w:val="00F56B68"/>
    <w:rsid w:val="00F82360"/>
    <w:rsid w:val="00F83C31"/>
    <w:rsid w:val="00FD0B92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0F460A18-3995-4499-8A83-A0F163C5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Cindy Gisela Barrios de Navas</cp:lastModifiedBy>
  <cp:revision>94</cp:revision>
  <cp:lastPrinted>2024-05-10T01:05:00Z</cp:lastPrinted>
  <dcterms:created xsi:type="dcterms:W3CDTF">2024-02-01T19:25:00Z</dcterms:created>
  <dcterms:modified xsi:type="dcterms:W3CDTF">2024-10-01T20:33:00Z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