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04C6" w14:textId="2E4DB488" w:rsidR="00DD720C" w:rsidRPr="00732114" w:rsidRDefault="00DD720C" w:rsidP="009B035D">
      <w:pPr>
        <w:pStyle w:val="NormalWeb"/>
        <w:spacing w:before="0" w:beforeAutospacing="0" w:after="0" w:afterAutospacing="0"/>
        <w:rPr>
          <w:rFonts w:ascii="Verdana" w:hAnsi="Verdana" w:cs="Arial"/>
          <w:b/>
          <w:color w:val="002060"/>
          <w:sz w:val="48"/>
        </w:rPr>
      </w:pPr>
    </w:p>
    <w:p w14:paraId="482DE8F1"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 xml:space="preserve">Informe de Ejecución Presupuestaria </w:t>
      </w:r>
    </w:p>
    <w:p w14:paraId="31542D2B" w14:textId="21ABEDFA" w:rsidR="00CB2A75" w:rsidRPr="00732114" w:rsidRDefault="00CB2A7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Viceministerio</w:t>
      </w:r>
      <w:r w:rsidR="00A11628" w:rsidRPr="00732114">
        <w:rPr>
          <w:rFonts w:ascii="Verdana" w:hAnsi="Verdana" w:cs="Arial"/>
          <w:b/>
          <w:color w:val="002060"/>
          <w:sz w:val="48"/>
        </w:rPr>
        <w:t xml:space="preserve"> de</w:t>
      </w:r>
    </w:p>
    <w:p w14:paraId="244E46E2"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Inversión y Competencia</w:t>
      </w:r>
    </w:p>
    <w:p w14:paraId="6A022411" w14:textId="53D26B8C" w:rsidR="00AB38F5" w:rsidRPr="00732114" w:rsidRDefault="00AB38F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 xml:space="preserve"> </w:t>
      </w:r>
      <w:r w:rsidR="009F6A1D">
        <w:rPr>
          <w:rFonts w:ascii="Verdana" w:hAnsi="Verdana" w:cs="Arial"/>
          <w:b/>
          <w:color w:val="002060"/>
          <w:sz w:val="48"/>
        </w:rPr>
        <w:t>Septiembre</w:t>
      </w:r>
      <w:r w:rsidR="00732114">
        <w:rPr>
          <w:rFonts w:ascii="Verdana" w:hAnsi="Verdana" w:cs="Arial"/>
          <w:b/>
          <w:color w:val="002060"/>
          <w:sz w:val="48"/>
        </w:rPr>
        <w:t xml:space="preserve"> 2024</w:t>
      </w:r>
    </w:p>
    <w:p w14:paraId="6F2E8374"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6675ECD4" w14:textId="689D7365"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7B60D61C" w14:textId="4D02EA01" w:rsidR="009B035D" w:rsidRPr="00732114" w:rsidRDefault="009B035D" w:rsidP="00AB38F5">
      <w:pPr>
        <w:pStyle w:val="NormalWeb"/>
        <w:spacing w:before="0" w:beforeAutospacing="0" w:after="0" w:afterAutospacing="0"/>
        <w:jc w:val="center"/>
        <w:rPr>
          <w:rFonts w:ascii="Verdana" w:hAnsi="Verdana" w:cs="Arial"/>
          <w:b/>
          <w:color w:val="002060"/>
          <w:sz w:val="48"/>
        </w:rPr>
      </w:pPr>
    </w:p>
    <w:p w14:paraId="03D80FB2" w14:textId="77777777" w:rsidR="009B035D" w:rsidRPr="00732114" w:rsidRDefault="009B035D" w:rsidP="00AB38F5">
      <w:pPr>
        <w:pStyle w:val="NormalWeb"/>
        <w:spacing w:before="0" w:beforeAutospacing="0" w:after="0" w:afterAutospacing="0"/>
        <w:jc w:val="center"/>
        <w:rPr>
          <w:rFonts w:ascii="Verdana" w:hAnsi="Verdana" w:cs="Arial"/>
          <w:b/>
          <w:color w:val="002060"/>
          <w:sz w:val="48"/>
        </w:rPr>
      </w:pPr>
    </w:p>
    <w:p w14:paraId="7E078874"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Ministerio de Economía</w:t>
      </w:r>
    </w:p>
    <w:p w14:paraId="020AC8EC"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72CAC618"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681E880C"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5F1244B2"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p>
    <w:p w14:paraId="3846865C" w14:textId="77777777" w:rsidR="00AB38F5" w:rsidRPr="00732114" w:rsidRDefault="00AB38F5" w:rsidP="00AB38F5">
      <w:pPr>
        <w:pStyle w:val="NormalWeb"/>
        <w:spacing w:before="0" w:beforeAutospacing="0" w:after="0" w:afterAutospacing="0"/>
        <w:jc w:val="center"/>
        <w:rPr>
          <w:rFonts w:ascii="Verdana" w:hAnsi="Verdana" w:cs="Arial"/>
          <w:b/>
          <w:color w:val="002060"/>
          <w:sz w:val="48"/>
        </w:rPr>
      </w:pPr>
      <w:r w:rsidRPr="00732114">
        <w:rPr>
          <w:rFonts w:ascii="Verdana" w:hAnsi="Verdana" w:cs="Arial"/>
          <w:b/>
          <w:color w:val="002060"/>
          <w:sz w:val="48"/>
        </w:rPr>
        <w:t>Dirección Financiera</w:t>
      </w:r>
    </w:p>
    <w:p w14:paraId="049D36BE" w14:textId="77777777" w:rsidR="00AB38F5" w:rsidRPr="00732114" w:rsidRDefault="00AB38F5" w:rsidP="00AB38F5">
      <w:pPr>
        <w:jc w:val="center"/>
        <w:rPr>
          <w:rFonts w:ascii="Verdana" w:hAnsi="Verdana" w:cs="Arial"/>
          <w:b/>
          <w:sz w:val="48"/>
        </w:rPr>
      </w:pPr>
    </w:p>
    <w:p w14:paraId="1E49B6CC" w14:textId="77777777" w:rsidR="00AB38F5" w:rsidRPr="00732114" w:rsidRDefault="00AB38F5" w:rsidP="00AB38F5">
      <w:pPr>
        <w:jc w:val="center"/>
        <w:rPr>
          <w:rFonts w:ascii="Verdana" w:hAnsi="Verdana" w:cs="Arial"/>
          <w:b/>
          <w:sz w:val="48"/>
        </w:rPr>
      </w:pPr>
    </w:p>
    <w:p w14:paraId="0CF66430" w14:textId="77777777" w:rsidR="00AB38F5" w:rsidRPr="00732114" w:rsidRDefault="00AB38F5" w:rsidP="00AB38F5">
      <w:pPr>
        <w:jc w:val="center"/>
        <w:rPr>
          <w:rFonts w:ascii="Verdana" w:hAnsi="Verdana" w:cs="Arial"/>
          <w:b/>
          <w:sz w:val="48"/>
        </w:rPr>
      </w:pPr>
    </w:p>
    <w:p w14:paraId="636E4221" w14:textId="5EDCEE87" w:rsidR="00AB38F5" w:rsidRPr="00732114" w:rsidRDefault="00AB38F5" w:rsidP="00AB38F5">
      <w:pPr>
        <w:jc w:val="center"/>
        <w:rPr>
          <w:rFonts w:ascii="Verdana" w:hAnsi="Verdana" w:cs="Arial"/>
          <w:b/>
          <w:sz w:val="48"/>
        </w:rPr>
      </w:pPr>
    </w:p>
    <w:p w14:paraId="5D8992AB" w14:textId="77777777" w:rsidR="0024654A" w:rsidRDefault="0024654A" w:rsidP="00AB38F5">
      <w:pPr>
        <w:jc w:val="center"/>
        <w:rPr>
          <w:rFonts w:ascii="Verdana" w:hAnsi="Verdana" w:cs="Arial"/>
          <w:b/>
          <w:lang w:val="es-MX"/>
        </w:rPr>
      </w:pPr>
    </w:p>
    <w:p w14:paraId="5A53B11C" w14:textId="1460B843" w:rsidR="00AB38F5" w:rsidRPr="00732114" w:rsidRDefault="00AB38F5" w:rsidP="00AB38F5">
      <w:pPr>
        <w:jc w:val="center"/>
        <w:rPr>
          <w:rFonts w:ascii="Verdana" w:hAnsi="Verdana" w:cs="Arial"/>
          <w:b/>
          <w:lang w:val="es-MX"/>
        </w:rPr>
      </w:pPr>
      <w:r w:rsidRPr="00732114">
        <w:rPr>
          <w:rFonts w:ascii="Verdana" w:hAnsi="Verdana" w:cs="Arial"/>
          <w:b/>
          <w:lang w:val="es-MX"/>
        </w:rPr>
        <w:lastRenderedPageBreak/>
        <w:t>INFORME DE EJECUCIÓN PRESUPUESTARIA</w:t>
      </w:r>
    </w:p>
    <w:p w14:paraId="57BE661F" w14:textId="788D0DF6" w:rsidR="00AB38F5" w:rsidRPr="00732114" w:rsidRDefault="00AB38F5" w:rsidP="00AB38F5">
      <w:pPr>
        <w:jc w:val="center"/>
        <w:rPr>
          <w:rFonts w:ascii="Verdana" w:hAnsi="Verdana" w:cs="Arial"/>
          <w:b/>
          <w:lang w:val="es-MX"/>
        </w:rPr>
      </w:pPr>
      <w:r w:rsidRPr="00732114">
        <w:rPr>
          <w:rFonts w:ascii="Verdana" w:hAnsi="Verdana" w:cs="Arial"/>
          <w:b/>
          <w:lang w:val="es-MX"/>
        </w:rPr>
        <w:t>DEL VICEMINISTERIO DE INVERSIÓN Y COMPETENCIA</w:t>
      </w:r>
    </w:p>
    <w:p w14:paraId="3E60A321" w14:textId="5F68D66F" w:rsidR="00AB38F5" w:rsidRPr="00732114" w:rsidRDefault="00AB38F5" w:rsidP="00AB38F5">
      <w:pPr>
        <w:jc w:val="center"/>
        <w:rPr>
          <w:rFonts w:ascii="Verdana" w:hAnsi="Verdana" w:cs="Arial"/>
          <w:b/>
          <w:lang w:val="es-MX"/>
        </w:rPr>
      </w:pPr>
      <w:r w:rsidRPr="00732114">
        <w:rPr>
          <w:rFonts w:ascii="Verdana" w:hAnsi="Verdana" w:cs="Arial"/>
          <w:b/>
          <w:lang w:val="es-MX"/>
        </w:rPr>
        <w:t xml:space="preserve">  </w:t>
      </w:r>
      <w:r w:rsidR="009F6A1D">
        <w:rPr>
          <w:rFonts w:ascii="Verdana" w:hAnsi="Verdana" w:cs="Arial"/>
          <w:b/>
          <w:lang w:val="es-MX"/>
        </w:rPr>
        <w:t>SEPTIEMBRE</w:t>
      </w:r>
      <w:r w:rsidR="00A57D2A">
        <w:rPr>
          <w:rFonts w:ascii="Verdana" w:hAnsi="Verdana" w:cs="Arial"/>
          <w:b/>
          <w:lang w:val="es-MX"/>
        </w:rPr>
        <w:t xml:space="preserve"> 2024</w:t>
      </w:r>
    </w:p>
    <w:p w14:paraId="1C5F0A19" w14:textId="77777777" w:rsidR="00AB38F5" w:rsidRPr="00732114" w:rsidRDefault="00AB38F5" w:rsidP="00AB38F5">
      <w:pPr>
        <w:rPr>
          <w:rFonts w:ascii="Verdana" w:hAnsi="Verdana" w:cs="Arial"/>
          <w:b/>
          <w:lang w:val="es-MX"/>
        </w:rPr>
      </w:pPr>
    </w:p>
    <w:p w14:paraId="05132426" w14:textId="5C85718E" w:rsidR="00AB38F5" w:rsidRPr="00732114" w:rsidRDefault="00AB38F5" w:rsidP="00AB38F5">
      <w:pPr>
        <w:pStyle w:val="Textoindependiente"/>
        <w:jc w:val="both"/>
        <w:rPr>
          <w:rFonts w:ascii="Verdana" w:eastAsia="Calibri" w:hAnsi="Verdana" w:cs="Arial"/>
          <w:szCs w:val="24"/>
          <w:lang w:val="es-MX" w:eastAsia="en-US"/>
        </w:rPr>
      </w:pPr>
      <w:r w:rsidRPr="00732114">
        <w:rPr>
          <w:rFonts w:ascii="Verdana" w:eastAsia="Calibri" w:hAnsi="Verdana" w:cs="Arial"/>
          <w:szCs w:val="24"/>
          <w:lang w:val="es-MX" w:eastAsia="en-US"/>
        </w:rPr>
        <w:t>El Viceministerio de Inversión y Competencia es la dependencia que se encarga de velar por el comercio y la inversión coordinando sistemas de información para orientar a exportadores de las mercancías producidas en el país, así como también promover la competencia nacional, la protección al consumidor asegurando la calidad y acreditación de los productos y servicios.</w:t>
      </w:r>
    </w:p>
    <w:p w14:paraId="4A5E68B9" w14:textId="77777777" w:rsidR="00AB38F5" w:rsidRPr="00732114" w:rsidRDefault="00AB38F5" w:rsidP="00AB38F5">
      <w:pPr>
        <w:pStyle w:val="Textoindependiente"/>
        <w:jc w:val="both"/>
        <w:rPr>
          <w:rFonts w:ascii="Verdana" w:eastAsia="Calibri" w:hAnsi="Verdana" w:cs="Arial"/>
          <w:szCs w:val="24"/>
          <w:lang w:val="es-MX" w:eastAsia="en-US"/>
        </w:rPr>
      </w:pPr>
    </w:p>
    <w:p w14:paraId="22E44D69" w14:textId="35404CA3" w:rsidR="00AB38F5" w:rsidRPr="00732114" w:rsidRDefault="00A11628" w:rsidP="00AB38F5">
      <w:pPr>
        <w:pStyle w:val="Textoindependiente"/>
        <w:jc w:val="both"/>
        <w:rPr>
          <w:rFonts w:ascii="Verdana" w:eastAsia="Calibri" w:hAnsi="Verdana" w:cs="Arial"/>
          <w:szCs w:val="24"/>
          <w:lang w:val="es-MX" w:eastAsia="en-US"/>
        </w:rPr>
      </w:pPr>
      <w:r w:rsidRPr="00732114">
        <w:rPr>
          <w:rFonts w:ascii="Verdana" w:eastAsia="Calibri" w:hAnsi="Verdana" w:cs="Arial"/>
          <w:szCs w:val="24"/>
          <w:lang w:val="es-MX" w:eastAsia="en-US"/>
        </w:rPr>
        <w:t>E</w:t>
      </w:r>
      <w:r w:rsidR="00AB38F5" w:rsidRPr="00732114">
        <w:rPr>
          <w:rFonts w:ascii="Verdana" w:eastAsia="Calibri" w:hAnsi="Verdana" w:cs="Arial"/>
          <w:szCs w:val="24"/>
          <w:lang w:val="es-MX" w:eastAsia="en-US"/>
        </w:rPr>
        <w:t>ste Viceministerio es el encargado de ejecutar uno de los programas estratégicos de Gobierno como lo es el de Apoyo al Incremento de la Competitividad, con el que se busca aumentar la inscripción de títulos de propiedad intelectual y personas individuales y jurídicas que desarrollen actividades mercantiles.</w:t>
      </w:r>
    </w:p>
    <w:p w14:paraId="2B7A8492" w14:textId="77777777" w:rsidR="00AB38F5" w:rsidRPr="00732114" w:rsidRDefault="00AB38F5" w:rsidP="00AB38F5">
      <w:pPr>
        <w:pStyle w:val="Textoindependiente"/>
        <w:jc w:val="both"/>
        <w:rPr>
          <w:rFonts w:ascii="Verdana" w:eastAsia="Calibri" w:hAnsi="Verdana" w:cs="Arial"/>
          <w:szCs w:val="24"/>
          <w:lang w:val="es-MX" w:eastAsia="en-US"/>
        </w:rPr>
      </w:pPr>
    </w:p>
    <w:p w14:paraId="163C9D33" w14:textId="0907150E" w:rsidR="00AB38F5" w:rsidRPr="00732114" w:rsidRDefault="00A11628" w:rsidP="00AB38F5">
      <w:pPr>
        <w:pStyle w:val="Textoindependiente"/>
        <w:jc w:val="both"/>
        <w:rPr>
          <w:rFonts w:ascii="Verdana" w:eastAsia="Calibri" w:hAnsi="Verdana" w:cs="Arial"/>
          <w:szCs w:val="24"/>
          <w:lang w:val="es-MX" w:eastAsia="en-US"/>
        </w:rPr>
      </w:pPr>
      <w:r w:rsidRPr="00732114">
        <w:rPr>
          <w:rFonts w:ascii="Verdana" w:eastAsia="Calibri" w:hAnsi="Verdana" w:cs="Arial"/>
          <w:szCs w:val="24"/>
          <w:lang w:val="es-MX" w:eastAsia="en-US"/>
        </w:rPr>
        <w:t xml:space="preserve">El Viceministerio de Inversión y Competencia tiene </w:t>
      </w:r>
      <w:r w:rsidR="00AB38F5" w:rsidRPr="00732114">
        <w:rPr>
          <w:rFonts w:ascii="Verdana" w:eastAsia="Calibri" w:hAnsi="Verdana" w:cs="Arial"/>
          <w:szCs w:val="24"/>
          <w:lang w:val="es-MX" w:eastAsia="en-US"/>
        </w:rPr>
        <w:t xml:space="preserve">asignado un presupuesto de </w:t>
      </w:r>
      <w:r w:rsidR="00AB38F5" w:rsidRPr="00732114">
        <w:rPr>
          <w:rFonts w:ascii="Verdana" w:eastAsia="Calibri" w:hAnsi="Verdana" w:cs="Arial"/>
          <w:b/>
          <w:szCs w:val="24"/>
          <w:lang w:val="es-MX" w:eastAsia="en-US"/>
        </w:rPr>
        <w:t>Q71,712,369.00</w:t>
      </w:r>
      <w:r w:rsidR="006B3B0D">
        <w:rPr>
          <w:rFonts w:ascii="Verdana" w:eastAsia="Calibri" w:hAnsi="Verdana" w:cs="Arial"/>
          <w:b/>
          <w:szCs w:val="24"/>
          <w:lang w:val="es-MX" w:eastAsia="en-US"/>
        </w:rPr>
        <w:t>,</w:t>
      </w:r>
      <w:r w:rsidR="00AB38F5" w:rsidRPr="00732114">
        <w:rPr>
          <w:rFonts w:ascii="Verdana" w:eastAsia="Calibri" w:hAnsi="Verdana" w:cs="Arial"/>
          <w:b/>
          <w:szCs w:val="24"/>
          <w:lang w:val="es-MX" w:eastAsia="en-US"/>
        </w:rPr>
        <w:t xml:space="preserve"> </w:t>
      </w:r>
      <w:r w:rsidR="006B3B0D">
        <w:rPr>
          <w:rFonts w:ascii="Verdana" w:eastAsia="Calibri" w:hAnsi="Verdana" w:cs="Arial"/>
          <w:szCs w:val="24"/>
          <w:lang w:val="es-MX" w:eastAsia="en-US"/>
        </w:rPr>
        <w:t>de lo cual se cedió presupuesto por la cantidad de Q-50,901.00 para cubrir el pago de nómina de otras Unidades Ejecutoras,</w:t>
      </w:r>
      <w:r w:rsidR="00FD7D6E">
        <w:rPr>
          <w:rFonts w:ascii="Verdana" w:eastAsia="Calibri" w:hAnsi="Verdana" w:cs="Arial"/>
          <w:szCs w:val="24"/>
          <w:lang w:val="es-MX" w:eastAsia="en-US"/>
        </w:rPr>
        <w:t xml:space="preserve"> contando con un presupuesto vigente por la cantidad de </w:t>
      </w:r>
      <w:r w:rsidR="00FD7D6E" w:rsidRPr="00C84850">
        <w:rPr>
          <w:rFonts w:ascii="Verdana" w:eastAsia="Calibri" w:hAnsi="Verdana" w:cs="Arial"/>
          <w:b/>
          <w:szCs w:val="24"/>
          <w:lang w:val="es-MX" w:eastAsia="en-US"/>
        </w:rPr>
        <w:t>Q</w:t>
      </w:r>
      <w:r w:rsidR="00FD7D6E">
        <w:rPr>
          <w:rFonts w:ascii="Verdana" w:eastAsia="Calibri" w:hAnsi="Verdana" w:cs="Arial"/>
          <w:b/>
          <w:szCs w:val="24"/>
          <w:lang w:val="es-MX" w:eastAsia="en-US"/>
        </w:rPr>
        <w:t>71.6</w:t>
      </w:r>
      <w:r w:rsidR="00FD7D6E">
        <w:rPr>
          <w:rFonts w:ascii="Verdana" w:eastAsia="Calibri" w:hAnsi="Verdana" w:cs="Arial"/>
          <w:szCs w:val="24"/>
          <w:lang w:val="es-MX" w:eastAsia="en-US"/>
        </w:rPr>
        <w:t xml:space="preserve"> millones, </w:t>
      </w:r>
      <w:r w:rsidR="00AB38F5" w:rsidRPr="00732114">
        <w:rPr>
          <w:rFonts w:ascii="Verdana" w:eastAsia="Calibri" w:hAnsi="Verdana" w:cs="Arial"/>
          <w:szCs w:val="24"/>
          <w:lang w:val="es-MX" w:eastAsia="en-US"/>
        </w:rPr>
        <w:t xml:space="preserve">de lo cual al cierre de </w:t>
      </w:r>
      <w:r w:rsidR="009F6A1D">
        <w:rPr>
          <w:rFonts w:ascii="Verdana" w:eastAsia="Calibri" w:hAnsi="Verdana" w:cs="Arial"/>
          <w:szCs w:val="24"/>
          <w:lang w:val="es-MX" w:eastAsia="en-US"/>
        </w:rPr>
        <w:t>septiembre</w:t>
      </w:r>
      <w:r w:rsidR="00AB38F5" w:rsidRPr="00732114">
        <w:rPr>
          <w:rFonts w:ascii="Verdana" w:eastAsia="Calibri" w:hAnsi="Verdana" w:cs="Arial"/>
          <w:szCs w:val="24"/>
          <w:lang w:val="es-MX" w:eastAsia="en-US"/>
        </w:rPr>
        <w:t xml:space="preserve"> se reportó una ejecución de gastos de </w:t>
      </w:r>
      <w:r w:rsidR="00AB38F5" w:rsidRPr="00732114">
        <w:rPr>
          <w:rFonts w:ascii="Verdana" w:eastAsia="Calibri" w:hAnsi="Verdana" w:cs="Arial"/>
          <w:b/>
          <w:szCs w:val="24"/>
          <w:lang w:val="es-MX" w:eastAsia="en-US"/>
        </w:rPr>
        <w:t>Q</w:t>
      </w:r>
      <w:r w:rsidR="00275CAA">
        <w:rPr>
          <w:rFonts w:ascii="Verdana" w:eastAsia="Calibri" w:hAnsi="Verdana" w:cs="Arial"/>
          <w:b/>
          <w:szCs w:val="24"/>
          <w:lang w:val="es-MX" w:eastAsia="en-US"/>
        </w:rPr>
        <w:t>3</w:t>
      </w:r>
      <w:r w:rsidR="009F6A1D">
        <w:rPr>
          <w:rFonts w:ascii="Verdana" w:eastAsia="Calibri" w:hAnsi="Verdana" w:cs="Arial"/>
          <w:b/>
          <w:szCs w:val="24"/>
          <w:lang w:val="es-MX" w:eastAsia="en-US"/>
        </w:rPr>
        <w:t>7</w:t>
      </w:r>
      <w:r w:rsidR="00FD7D6E">
        <w:rPr>
          <w:rFonts w:ascii="Verdana" w:eastAsia="Calibri" w:hAnsi="Verdana" w:cs="Arial"/>
          <w:b/>
          <w:szCs w:val="24"/>
          <w:lang w:val="es-MX" w:eastAsia="en-US"/>
        </w:rPr>
        <w:t>.</w:t>
      </w:r>
      <w:r w:rsidR="009F6A1D">
        <w:rPr>
          <w:rFonts w:ascii="Verdana" w:eastAsia="Calibri" w:hAnsi="Verdana" w:cs="Arial"/>
          <w:b/>
          <w:szCs w:val="24"/>
          <w:lang w:val="es-MX" w:eastAsia="en-US"/>
        </w:rPr>
        <w:t>9</w:t>
      </w:r>
      <w:r w:rsidR="00AB38F5" w:rsidRPr="00732114">
        <w:rPr>
          <w:rFonts w:ascii="Verdana" w:eastAsia="Calibri" w:hAnsi="Verdana" w:cs="Arial"/>
          <w:szCs w:val="24"/>
          <w:lang w:val="es-MX" w:eastAsia="en-US"/>
        </w:rPr>
        <w:t xml:space="preserve"> millones de quetzales, lo que representa el </w:t>
      </w:r>
      <w:r w:rsidR="00275CAA">
        <w:rPr>
          <w:rFonts w:ascii="Verdana" w:eastAsia="Calibri" w:hAnsi="Verdana" w:cs="Arial"/>
          <w:b/>
          <w:szCs w:val="24"/>
          <w:lang w:val="es-MX" w:eastAsia="en-US"/>
        </w:rPr>
        <w:t>5</w:t>
      </w:r>
      <w:r w:rsidR="009F6A1D">
        <w:rPr>
          <w:rFonts w:ascii="Verdana" w:eastAsia="Calibri" w:hAnsi="Verdana" w:cs="Arial"/>
          <w:b/>
          <w:szCs w:val="24"/>
          <w:lang w:val="es-MX" w:eastAsia="en-US"/>
        </w:rPr>
        <w:t>2.92</w:t>
      </w:r>
      <w:r w:rsidR="00AB38F5" w:rsidRPr="00732114">
        <w:rPr>
          <w:rFonts w:ascii="Verdana" w:eastAsia="Calibri" w:hAnsi="Verdana" w:cs="Arial"/>
          <w:b/>
          <w:szCs w:val="24"/>
          <w:lang w:val="es-MX" w:eastAsia="en-US"/>
        </w:rPr>
        <w:t>%.</w:t>
      </w:r>
    </w:p>
    <w:p w14:paraId="2E675DEF" w14:textId="77777777" w:rsidR="00AB38F5" w:rsidRPr="00732114" w:rsidRDefault="00AB38F5" w:rsidP="00AB38F5">
      <w:pPr>
        <w:pStyle w:val="Textoindependiente"/>
        <w:jc w:val="both"/>
        <w:rPr>
          <w:rFonts w:ascii="Verdana" w:eastAsia="Calibri" w:hAnsi="Verdana" w:cs="Arial"/>
          <w:szCs w:val="24"/>
          <w:lang w:val="es-MX" w:eastAsia="en-US"/>
        </w:rPr>
      </w:pPr>
    </w:p>
    <w:p w14:paraId="4E8B5A56" w14:textId="471F1AAE" w:rsidR="00AB38F5" w:rsidRPr="00732114" w:rsidRDefault="00AB38F5" w:rsidP="00AB38F5">
      <w:pPr>
        <w:jc w:val="center"/>
        <w:rPr>
          <w:rFonts w:ascii="Verdana" w:hAnsi="Verdana" w:cs="Arial"/>
          <w:b/>
          <w:lang w:val="es-MX"/>
        </w:rPr>
      </w:pPr>
      <w:r w:rsidRPr="00732114">
        <w:rPr>
          <w:rFonts w:ascii="Verdana" w:hAnsi="Verdana" w:cs="Arial"/>
          <w:b/>
          <w:lang w:val="es-MX"/>
        </w:rPr>
        <w:t>Gráfica No. 1</w:t>
      </w:r>
    </w:p>
    <w:p w14:paraId="0F4F60C7" w14:textId="7EC3294A" w:rsidR="00C64308" w:rsidRPr="00732114" w:rsidRDefault="00C64308" w:rsidP="00AB38F5">
      <w:pPr>
        <w:jc w:val="center"/>
        <w:rPr>
          <w:rFonts w:ascii="Verdana" w:hAnsi="Verdana" w:cs="Arial"/>
          <w:b/>
          <w:lang w:val="es-MX"/>
        </w:rPr>
      </w:pPr>
      <w:r w:rsidRPr="00732114">
        <w:rPr>
          <w:rFonts w:ascii="Verdana" w:hAnsi="Verdana" w:cs="Arial"/>
          <w:b/>
          <w:lang w:val="es-MX"/>
        </w:rPr>
        <w:t>Viceministerio de Inversión y Competencia</w:t>
      </w:r>
    </w:p>
    <w:p w14:paraId="53157E24" w14:textId="02C2E5E8" w:rsidR="00AB38F5" w:rsidRDefault="00AB38F5" w:rsidP="00AB38F5">
      <w:pPr>
        <w:jc w:val="center"/>
        <w:rPr>
          <w:rFonts w:ascii="Verdana" w:hAnsi="Verdana" w:cs="Arial"/>
          <w:b/>
          <w:lang w:val="es-MX"/>
        </w:rPr>
      </w:pPr>
      <w:r w:rsidRPr="00732114">
        <w:rPr>
          <w:rFonts w:ascii="Verdana" w:hAnsi="Verdana" w:cs="Arial"/>
          <w:b/>
          <w:lang w:val="es-MX"/>
        </w:rPr>
        <w:t>Ejecución Presupuestaria</w:t>
      </w:r>
    </w:p>
    <w:p w14:paraId="09FA94AE" w14:textId="35214B90" w:rsidR="005E2E7E" w:rsidRPr="00732114" w:rsidRDefault="005E2E7E" w:rsidP="00AB38F5">
      <w:pPr>
        <w:jc w:val="center"/>
        <w:rPr>
          <w:rFonts w:ascii="Verdana" w:hAnsi="Verdana" w:cs="Arial"/>
          <w:b/>
          <w:lang w:val="es-MX"/>
        </w:rPr>
      </w:pPr>
      <w:r>
        <w:rPr>
          <w:rFonts w:ascii="Verdana" w:hAnsi="Verdana" w:cs="Arial"/>
          <w:b/>
          <w:noProof/>
          <w:lang w:eastAsia="es-GT"/>
        </w:rPr>
        <w:drawing>
          <wp:inline distT="0" distB="0" distL="0" distR="0" wp14:anchorId="420AE01B" wp14:editId="4271C96B">
            <wp:extent cx="3568608" cy="22922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7112" cy="2304168"/>
                    </a:xfrm>
                    <a:prstGeom prst="rect">
                      <a:avLst/>
                    </a:prstGeom>
                    <a:noFill/>
                  </pic:spPr>
                </pic:pic>
              </a:graphicData>
            </a:graphic>
          </wp:inline>
        </w:drawing>
      </w:r>
    </w:p>
    <w:p w14:paraId="7A95104E" w14:textId="5CA6B6E2" w:rsidR="00AB38F5" w:rsidRPr="00275CAA" w:rsidRDefault="00AB38F5" w:rsidP="00AB38F5">
      <w:pPr>
        <w:jc w:val="center"/>
        <w:rPr>
          <w:rFonts w:ascii="Verdana" w:hAnsi="Verdana" w:cs="Arial"/>
          <w:b/>
          <w:color w:val="000000" w:themeColor="text1"/>
          <w:sz w:val="2"/>
        </w:rPr>
      </w:pPr>
    </w:p>
    <w:p w14:paraId="0FE4936D" w14:textId="21DD25DD" w:rsidR="00AB38F5" w:rsidRPr="00AC73B4" w:rsidRDefault="00275CAA" w:rsidP="00AB38F5">
      <w:pPr>
        <w:jc w:val="center"/>
        <w:rPr>
          <w:rFonts w:ascii="Verdana" w:hAnsi="Verdana" w:cs="Arial"/>
          <w:color w:val="000000" w:themeColor="text1"/>
          <w:sz w:val="16"/>
        </w:rPr>
      </w:pPr>
      <w:r w:rsidRPr="006014DF">
        <w:rPr>
          <w:rFonts w:ascii="Verdana" w:hAnsi="Verdana" w:cs="Arial"/>
          <w:b/>
          <w:sz w:val="14"/>
          <w:lang w:val="es-MX"/>
        </w:rPr>
        <w:t>Fuente:</w:t>
      </w:r>
      <w:r w:rsidRPr="006014DF">
        <w:rPr>
          <w:rFonts w:ascii="Verdana" w:hAnsi="Verdana" w:cs="Arial"/>
          <w:sz w:val="14"/>
          <w:lang w:val="es-MX"/>
        </w:rPr>
        <w:t xml:space="preserve"> Sistema de Contabilidad Integrada (Sicoin) 0</w:t>
      </w:r>
      <w:r w:rsidR="005E2E7E">
        <w:rPr>
          <w:rFonts w:ascii="Verdana" w:hAnsi="Verdana" w:cs="Arial"/>
          <w:sz w:val="14"/>
          <w:lang w:val="es-MX"/>
        </w:rPr>
        <w:t>1</w:t>
      </w:r>
      <w:r w:rsidRPr="006014DF">
        <w:rPr>
          <w:rFonts w:ascii="Verdana" w:hAnsi="Verdana" w:cs="Arial"/>
          <w:sz w:val="14"/>
          <w:lang w:val="es-MX"/>
        </w:rPr>
        <w:t>/</w:t>
      </w:r>
      <w:r w:rsidR="005E2E7E">
        <w:rPr>
          <w:rFonts w:ascii="Verdana" w:hAnsi="Verdana" w:cs="Arial"/>
          <w:sz w:val="14"/>
          <w:lang w:val="es-MX"/>
        </w:rPr>
        <w:t>1</w:t>
      </w:r>
      <w:r w:rsidRPr="006014DF">
        <w:rPr>
          <w:rFonts w:ascii="Verdana" w:hAnsi="Verdana" w:cs="Arial"/>
          <w:sz w:val="14"/>
          <w:lang w:val="es-MX"/>
        </w:rPr>
        <w:t xml:space="preserve">0/2024 </w:t>
      </w:r>
      <w:r w:rsidR="005E2E7E">
        <w:rPr>
          <w:rFonts w:ascii="Verdana" w:hAnsi="Verdana" w:cs="Arial"/>
          <w:sz w:val="14"/>
          <w:lang w:val="es-MX"/>
        </w:rPr>
        <w:t>8</w:t>
      </w:r>
      <w:r w:rsidRPr="006014DF">
        <w:rPr>
          <w:rFonts w:ascii="Verdana" w:hAnsi="Verdana" w:cs="Arial"/>
          <w:sz w:val="14"/>
          <w:lang w:val="es-MX"/>
        </w:rPr>
        <w:t>:05</w:t>
      </w:r>
    </w:p>
    <w:p w14:paraId="2C0A3969" w14:textId="332FA145" w:rsidR="00AB38F5" w:rsidRPr="00732114" w:rsidRDefault="00AB38F5" w:rsidP="00AB38F5">
      <w:pPr>
        <w:jc w:val="center"/>
        <w:rPr>
          <w:rFonts w:ascii="Verdana" w:hAnsi="Verdana" w:cs="Arial"/>
          <w:b/>
          <w:lang w:val="es-MX"/>
        </w:rPr>
      </w:pPr>
      <w:r w:rsidRPr="00732114">
        <w:rPr>
          <w:rFonts w:ascii="Verdana" w:hAnsi="Verdana" w:cs="Arial"/>
          <w:b/>
          <w:lang w:val="es-MX"/>
        </w:rPr>
        <w:lastRenderedPageBreak/>
        <w:t>Gráfica No. 2</w:t>
      </w:r>
    </w:p>
    <w:p w14:paraId="454A9EC5" w14:textId="5AA7C8EA" w:rsidR="00C64308" w:rsidRPr="00732114" w:rsidRDefault="00C64308" w:rsidP="00AB38F5">
      <w:pPr>
        <w:jc w:val="center"/>
        <w:rPr>
          <w:rFonts w:ascii="Verdana" w:hAnsi="Verdana" w:cs="Arial"/>
          <w:b/>
          <w:lang w:val="es-MX"/>
        </w:rPr>
      </w:pPr>
      <w:r w:rsidRPr="00732114">
        <w:rPr>
          <w:rFonts w:ascii="Verdana" w:hAnsi="Verdana" w:cs="Arial"/>
          <w:b/>
          <w:lang w:val="es-MX"/>
        </w:rPr>
        <w:t>Viceministerio de Inversión y Competencia</w:t>
      </w:r>
    </w:p>
    <w:p w14:paraId="1F494BCF" w14:textId="793C4CD2" w:rsidR="00AB38F5" w:rsidRDefault="00AB38F5" w:rsidP="00AB38F5">
      <w:pPr>
        <w:jc w:val="center"/>
        <w:rPr>
          <w:rFonts w:ascii="Verdana" w:hAnsi="Verdana" w:cs="Arial"/>
          <w:b/>
          <w:lang w:val="es-MX"/>
        </w:rPr>
      </w:pPr>
      <w:r w:rsidRPr="00732114">
        <w:rPr>
          <w:rFonts w:ascii="Verdana" w:hAnsi="Verdana" w:cs="Arial"/>
          <w:b/>
          <w:lang w:val="es-MX"/>
        </w:rPr>
        <w:t>Ejecución Presupuestaria</w:t>
      </w:r>
    </w:p>
    <w:p w14:paraId="08832928" w14:textId="56D4000B" w:rsidR="00C72F67" w:rsidRPr="00C72F67" w:rsidRDefault="009E1F4C" w:rsidP="00AB38F5">
      <w:pPr>
        <w:jc w:val="center"/>
        <w:rPr>
          <w:rFonts w:ascii="Verdana" w:hAnsi="Verdana" w:cs="Arial"/>
          <w:b/>
          <w:sz w:val="22"/>
          <w:lang w:val="es-MX"/>
        </w:rPr>
      </w:pPr>
      <w:r>
        <w:rPr>
          <w:rFonts w:ascii="Verdana" w:hAnsi="Verdana" w:cs="Arial"/>
          <w:b/>
          <w:noProof/>
          <w:sz w:val="22"/>
          <w:lang w:eastAsia="es-GT"/>
        </w:rPr>
        <w:drawing>
          <wp:anchor distT="0" distB="0" distL="114300" distR="114300" simplePos="0" relativeHeight="251658240" behindDoc="1" locked="0" layoutInCell="1" allowOverlap="1" wp14:anchorId="02A1FE44" wp14:editId="1887A594">
            <wp:simplePos x="0" y="0"/>
            <wp:positionH relativeFrom="page">
              <wp:posOffset>546100</wp:posOffset>
            </wp:positionH>
            <wp:positionV relativeFrom="paragraph">
              <wp:posOffset>194945</wp:posOffset>
            </wp:positionV>
            <wp:extent cx="6877050" cy="5543550"/>
            <wp:effectExtent l="0" t="0" r="0" b="0"/>
            <wp:wrapTight wrapText="bothSides">
              <wp:wrapPolygon edited="0">
                <wp:start x="0" y="0"/>
                <wp:lineTo x="0" y="21526"/>
                <wp:lineTo x="21540" y="21526"/>
                <wp:lineTo x="2154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7050" cy="5543550"/>
                    </a:xfrm>
                    <a:prstGeom prst="rect">
                      <a:avLst/>
                    </a:prstGeom>
                    <a:noFill/>
                  </pic:spPr>
                </pic:pic>
              </a:graphicData>
            </a:graphic>
            <wp14:sizeRelH relativeFrom="page">
              <wp14:pctWidth>0</wp14:pctWidth>
            </wp14:sizeRelH>
            <wp14:sizeRelV relativeFrom="page">
              <wp14:pctHeight>0</wp14:pctHeight>
            </wp14:sizeRelV>
          </wp:anchor>
        </w:drawing>
      </w:r>
    </w:p>
    <w:p w14:paraId="55BE1C5F" w14:textId="7979396A" w:rsidR="00AB38F5" w:rsidRPr="00732114" w:rsidRDefault="009E1F4C" w:rsidP="00C72F67">
      <w:pPr>
        <w:jc w:val="center"/>
        <w:rPr>
          <w:rFonts w:ascii="Verdana" w:hAnsi="Verdana" w:cs="Arial"/>
          <w:color w:val="000000" w:themeColor="text1"/>
        </w:rPr>
      </w:pPr>
      <w:r w:rsidRPr="006014DF">
        <w:rPr>
          <w:rFonts w:ascii="Verdana" w:hAnsi="Verdana" w:cs="Arial"/>
          <w:b/>
          <w:sz w:val="14"/>
          <w:lang w:val="es-MX"/>
        </w:rPr>
        <w:t>Fuente:</w:t>
      </w:r>
      <w:r w:rsidRPr="006014DF">
        <w:rPr>
          <w:rFonts w:ascii="Verdana" w:hAnsi="Verdana" w:cs="Arial"/>
          <w:sz w:val="14"/>
          <w:lang w:val="es-MX"/>
        </w:rPr>
        <w:t xml:space="preserve"> Sistema de Contabilidad Integrada (Sicoin) 0</w:t>
      </w:r>
      <w:r>
        <w:rPr>
          <w:rFonts w:ascii="Verdana" w:hAnsi="Verdana" w:cs="Arial"/>
          <w:sz w:val="14"/>
          <w:lang w:val="es-MX"/>
        </w:rPr>
        <w:t>1</w:t>
      </w:r>
      <w:r w:rsidRPr="006014DF">
        <w:rPr>
          <w:rFonts w:ascii="Verdana" w:hAnsi="Verdana" w:cs="Arial"/>
          <w:sz w:val="14"/>
          <w:lang w:val="es-MX"/>
        </w:rPr>
        <w:t>/</w:t>
      </w:r>
      <w:r>
        <w:rPr>
          <w:rFonts w:ascii="Verdana" w:hAnsi="Verdana" w:cs="Arial"/>
          <w:sz w:val="14"/>
          <w:lang w:val="es-MX"/>
        </w:rPr>
        <w:t>1</w:t>
      </w:r>
      <w:r w:rsidRPr="006014DF">
        <w:rPr>
          <w:rFonts w:ascii="Verdana" w:hAnsi="Verdana" w:cs="Arial"/>
          <w:sz w:val="14"/>
          <w:lang w:val="es-MX"/>
        </w:rPr>
        <w:t xml:space="preserve">0/2024 </w:t>
      </w:r>
      <w:r>
        <w:rPr>
          <w:rFonts w:ascii="Verdana" w:hAnsi="Verdana" w:cs="Arial"/>
          <w:sz w:val="14"/>
          <w:lang w:val="es-MX"/>
        </w:rPr>
        <w:t>8</w:t>
      </w:r>
      <w:r w:rsidRPr="006014DF">
        <w:rPr>
          <w:rFonts w:ascii="Verdana" w:hAnsi="Verdana" w:cs="Arial"/>
          <w:sz w:val="14"/>
          <w:lang w:val="es-MX"/>
        </w:rPr>
        <w:t>:05</w:t>
      </w:r>
    </w:p>
    <w:p w14:paraId="45A9B421" w14:textId="13B13113" w:rsidR="005F5695" w:rsidRPr="00732114" w:rsidRDefault="005F5695" w:rsidP="005F5695">
      <w:pPr>
        <w:rPr>
          <w:rFonts w:ascii="Verdana" w:hAnsi="Verdana" w:cs="Arial"/>
          <w:color w:val="000000" w:themeColor="text1"/>
        </w:rPr>
      </w:pPr>
    </w:p>
    <w:p w14:paraId="795339E1" w14:textId="23B5A466" w:rsidR="00AB38F5" w:rsidRPr="00732114" w:rsidRDefault="005F5695" w:rsidP="00AB38F5">
      <w:pPr>
        <w:jc w:val="both"/>
        <w:rPr>
          <w:rFonts w:ascii="Verdana" w:hAnsi="Verdana" w:cs="Arial"/>
          <w:lang w:val="es-MX"/>
        </w:rPr>
      </w:pPr>
      <w:r w:rsidRPr="00732114">
        <w:rPr>
          <w:rFonts w:ascii="Verdana" w:hAnsi="Verdana" w:cs="Arial"/>
          <w:lang w:val="es-MX"/>
        </w:rPr>
        <w:t>El cuadro No. 1 se detalla</w:t>
      </w:r>
      <w:r w:rsidR="00AB38F5" w:rsidRPr="00732114">
        <w:rPr>
          <w:rFonts w:ascii="Verdana" w:hAnsi="Verdana" w:cs="Arial"/>
          <w:lang w:val="es-MX"/>
        </w:rPr>
        <w:t xml:space="preserve"> a continuación </w:t>
      </w:r>
      <w:r w:rsidRPr="00732114">
        <w:rPr>
          <w:rFonts w:ascii="Verdana" w:hAnsi="Verdana" w:cs="Arial"/>
          <w:lang w:val="es-MX"/>
        </w:rPr>
        <w:t xml:space="preserve">la ejecución presupuestaria de </w:t>
      </w:r>
      <w:r w:rsidR="00AB38F5" w:rsidRPr="00732114">
        <w:rPr>
          <w:rFonts w:ascii="Verdana" w:hAnsi="Verdana" w:cs="Arial"/>
          <w:lang w:val="es-MX"/>
        </w:rPr>
        <w:t xml:space="preserve">los gastos de las diferentes dependencias sujetas al </w:t>
      </w:r>
      <w:r w:rsidRPr="00732114">
        <w:rPr>
          <w:rFonts w:ascii="Verdana" w:hAnsi="Verdana" w:cs="Arial"/>
          <w:lang w:val="es-MX"/>
        </w:rPr>
        <w:t>V</w:t>
      </w:r>
      <w:r w:rsidR="00AB38F5" w:rsidRPr="00732114">
        <w:rPr>
          <w:rFonts w:ascii="Verdana" w:hAnsi="Verdana" w:cs="Arial"/>
          <w:lang w:val="es-MX"/>
        </w:rPr>
        <w:t xml:space="preserve">iceministerio de Inversión y </w:t>
      </w:r>
      <w:r w:rsidRPr="00732114">
        <w:rPr>
          <w:rFonts w:ascii="Verdana" w:hAnsi="Verdana" w:cs="Arial"/>
          <w:lang w:val="es-MX"/>
        </w:rPr>
        <w:t>C</w:t>
      </w:r>
      <w:r w:rsidR="00AB38F5" w:rsidRPr="00732114">
        <w:rPr>
          <w:rFonts w:ascii="Verdana" w:hAnsi="Verdana" w:cs="Arial"/>
          <w:lang w:val="es-MX"/>
        </w:rPr>
        <w:t>ompetencia</w:t>
      </w:r>
      <w:r w:rsidRPr="00732114">
        <w:rPr>
          <w:rFonts w:ascii="Verdana" w:hAnsi="Verdana" w:cs="Arial"/>
          <w:lang w:val="es-MX"/>
        </w:rPr>
        <w:t xml:space="preserve">; </w:t>
      </w:r>
      <w:r w:rsidR="00AB38F5" w:rsidRPr="00732114">
        <w:rPr>
          <w:rFonts w:ascii="Verdana" w:hAnsi="Verdana" w:cs="Arial"/>
          <w:lang w:val="es-MX"/>
        </w:rPr>
        <w:t xml:space="preserve">en su mayoría </w:t>
      </w:r>
      <w:r w:rsidR="000F6B0C" w:rsidRPr="00732114">
        <w:rPr>
          <w:rFonts w:ascii="Verdana" w:hAnsi="Verdana" w:cs="Arial"/>
          <w:lang w:val="es-MX"/>
        </w:rPr>
        <w:t xml:space="preserve">están contemplados en </w:t>
      </w:r>
      <w:r w:rsidRPr="00732114">
        <w:rPr>
          <w:rFonts w:ascii="Verdana" w:hAnsi="Verdana" w:cs="Arial"/>
          <w:lang w:val="es-MX"/>
        </w:rPr>
        <w:t xml:space="preserve">pago de </w:t>
      </w:r>
      <w:r w:rsidR="000F6B0C" w:rsidRPr="00732114">
        <w:rPr>
          <w:rFonts w:ascii="Verdana" w:hAnsi="Verdana" w:cs="Arial"/>
          <w:lang w:val="es-MX"/>
        </w:rPr>
        <w:t>nómina,</w:t>
      </w:r>
      <w:r w:rsidR="00AB38F5" w:rsidRPr="00732114">
        <w:rPr>
          <w:rFonts w:ascii="Verdana" w:hAnsi="Verdana" w:cs="Arial"/>
          <w:lang w:val="es-MX"/>
        </w:rPr>
        <w:t xml:space="preserve"> servicios</w:t>
      </w:r>
      <w:r w:rsidR="00CD15FB" w:rsidRPr="00732114">
        <w:rPr>
          <w:rFonts w:ascii="Verdana" w:hAnsi="Verdana" w:cs="Arial"/>
          <w:lang w:val="es-MX"/>
        </w:rPr>
        <w:t>, indemnizaciones</w:t>
      </w:r>
      <w:r w:rsidR="000F6B0C" w:rsidRPr="00732114">
        <w:rPr>
          <w:rFonts w:ascii="Verdana" w:hAnsi="Verdana" w:cs="Arial"/>
          <w:lang w:val="es-MX"/>
        </w:rPr>
        <w:t xml:space="preserve"> y sentencias judiciales</w:t>
      </w:r>
      <w:r w:rsidR="00AB38F5" w:rsidRPr="00732114">
        <w:rPr>
          <w:rFonts w:ascii="Verdana" w:hAnsi="Verdana" w:cs="Arial"/>
          <w:lang w:val="es-MX"/>
        </w:rPr>
        <w:t>:</w:t>
      </w:r>
    </w:p>
    <w:p w14:paraId="7A6381A2" w14:textId="1CBB01E7" w:rsidR="00EE2B1A" w:rsidRDefault="00EE2B1A" w:rsidP="00AB38F5">
      <w:pPr>
        <w:jc w:val="both"/>
        <w:rPr>
          <w:rFonts w:ascii="Verdana" w:hAnsi="Verdana" w:cs="Arial"/>
          <w:lang w:val="es-MX"/>
        </w:rPr>
      </w:pPr>
    </w:p>
    <w:p w14:paraId="08E076FC" w14:textId="260FE268" w:rsidR="00AB38F5" w:rsidRPr="00732114" w:rsidRDefault="00AB38F5" w:rsidP="00AB38F5">
      <w:pPr>
        <w:ind w:left="2832" w:firstLine="708"/>
        <w:rPr>
          <w:rFonts w:ascii="Verdana" w:hAnsi="Verdana" w:cs="Arial"/>
          <w:b/>
          <w:lang w:val="es-MX"/>
        </w:rPr>
      </w:pPr>
      <w:r w:rsidRPr="00732114">
        <w:rPr>
          <w:rFonts w:ascii="Verdana" w:hAnsi="Verdana" w:cs="Arial"/>
          <w:b/>
          <w:lang w:val="es-MX"/>
        </w:rPr>
        <w:lastRenderedPageBreak/>
        <w:t>Cuadro No. 1</w:t>
      </w:r>
    </w:p>
    <w:p w14:paraId="264159F8" w14:textId="6C453C87" w:rsidR="00AB38F5" w:rsidRPr="00732114" w:rsidRDefault="00AB38F5" w:rsidP="00AB38F5">
      <w:pPr>
        <w:jc w:val="center"/>
        <w:rPr>
          <w:rFonts w:ascii="Verdana" w:hAnsi="Verdana" w:cs="Arial"/>
          <w:b/>
          <w:lang w:val="es-MX"/>
        </w:rPr>
      </w:pPr>
      <w:r w:rsidRPr="00732114">
        <w:rPr>
          <w:rFonts w:ascii="Verdana" w:hAnsi="Verdana" w:cs="Arial"/>
          <w:b/>
          <w:lang w:val="es-MX"/>
        </w:rPr>
        <w:t>Viceministerio de Inversión y Competencia</w:t>
      </w:r>
    </w:p>
    <w:p w14:paraId="34255051" w14:textId="2A865DE4" w:rsidR="00AB38F5" w:rsidRPr="00732114" w:rsidRDefault="00AB38F5" w:rsidP="00AB38F5">
      <w:pPr>
        <w:jc w:val="center"/>
        <w:rPr>
          <w:rFonts w:ascii="Verdana" w:hAnsi="Verdana" w:cs="Arial"/>
          <w:b/>
          <w:lang w:val="es-MX"/>
        </w:rPr>
      </w:pPr>
      <w:r w:rsidRPr="00732114">
        <w:rPr>
          <w:rFonts w:ascii="Verdana" w:hAnsi="Verdana" w:cs="Arial"/>
          <w:b/>
          <w:lang w:val="es-MX"/>
        </w:rPr>
        <w:t>Presupuesto</w:t>
      </w:r>
      <w:r w:rsidR="005C61BD" w:rsidRPr="00732114">
        <w:rPr>
          <w:rFonts w:ascii="Verdana" w:hAnsi="Verdana" w:cs="Arial"/>
          <w:b/>
          <w:lang w:val="es-MX"/>
        </w:rPr>
        <w:t xml:space="preserve"> por Dependencias y</w:t>
      </w:r>
      <w:r w:rsidRPr="00732114">
        <w:rPr>
          <w:rFonts w:ascii="Verdana" w:hAnsi="Verdana" w:cs="Arial"/>
          <w:b/>
          <w:lang w:val="es-MX"/>
        </w:rPr>
        <w:t xml:space="preserve"> grupo de gasto</w:t>
      </w:r>
    </w:p>
    <w:p w14:paraId="557F4219" w14:textId="55CA8EC5" w:rsidR="00AB38F5" w:rsidRPr="00732114" w:rsidRDefault="00AB38F5" w:rsidP="00AB38F5">
      <w:pPr>
        <w:rPr>
          <w:rFonts w:ascii="Verdana" w:hAnsi="Verdana"/>
          <w:noProof/>
          <w:lang w:eastAsia="es-GT"/>
        </w:rPr>
      </w:pPr>
    </w:p>
    <w:p w14:paraId="0E17A8F4" w14:textId="05F09B99" w:rsidR="00AB38F5" w:rsidRPr="00732114" w:rsidRDefault="00AE59AB" w:rsidP="00AB38F5">
      <w:pPr>
        <w:rPr>
          <w:rFonts w:ascii="Verdana" w:hAnsi="Verdana"/>
          <w:noProof/>
          <w:lang w:eastAsia="es-GT"/>
        </w:rPr>
      </w:pPr>
      <w:r w:rsidRPr="00AE59AB">
        <w:rPr>
          <w:noProof/>
        </w:rPr>
        <w:drawing>
          <wp:inline distT="0" distB="0" distL="0" distR="0" wp14:anchorId="115B578B" wp14:editId="127453BA">
            <wp:extent cx="5683250" cy="67151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3579" cy="6715514"/>
                    </a:xfrm>
                    <a:prstGeom prst="rect">
                      <a:avLst/>
                    </a:prstGeom>
                    <a:noFill/>
                    <a:ln>
                      <a:noFill/>
                    </a:ln>
                  </pic:spPr>
                </pic:pic>
              </a:graphicData>
            </a:graphic>
          </wp:inline>
        </w:drawing>
      </w:r>
    </w:p>
    <w:p w14:paraId="2CC0C007" w14:textId="22DFA52D" w:rsidR="00AB38F5" w:rsidRPr="002204FB" w:rsidRDefault="009E1F4C" w:rsidP="00AB38F5">
      <w:pPr>
        <w:jc w:val="center"/>
        <w:rPr>
          <w:rFonts w:ascii="Verdana" w:hAnsi="Verdana" w:cs="Arial"/>
          <w:color w:val="000000" w:themeColor="text1"/>
          <w:sz w:val="16"/>
        </w:rPr>
      </w:pPr>
      <w:r w:rsidRPr="006014DF">
        <w:rPr>
          <w:rFonts w:ascii="Verdana" w:hAnsi="Verdana" w:cs="Arial"/>
          <w:b/>
          <w:sz w:val="14"/>
          <w:lang w:val="es-MX"/>
        </w:rPr>
        <w:t>Fuente:</w:t>
      </w:r>
      <w:r w:rsidRPr="006014DF">
        <w:rPr>
          <w:rFonts w:ascii="Verdana" w:hAnsi="Verdana" w:cs="Arial"/>
          <w:sz w:val="14"/>
          <w:lang w:val="es-MX"/>
        </w:rPr>
        <w:t xml:space="preserve"> Sistema de Contabilidad Integrada (Sicoin) 0</w:t>
      </w:r>
      <w:r>
        <w:rPr>
          <w:rFonts w:ascii="Verdana" w:hAnsi="Verdana" w:cs="Arial"/>
          <w:sz w:val="14"/>
          <w:lang w:val="es-MX"/>
        </w:rPr>
        <w:t>1</w:t>
      </w:r>
      <w:r w:rsidRPr="006014DF">
        <w:rPr>
          <w:rFonts w:ascii="Verdana" w:hAnsi="Verdana" w:cs="Arial"/>
          <w:sz w:val="14"/>
          <w:lang w:val="es-MX"/>
        </w:rPr>
        <w:t>/</w:t>
      </w:r>
      <w:r>
        <w:rPr>
          <w:rFonts w:ascii="Verdana" w:hAnsi="Verdana" w:cs="Arial"/>
          <w:sz w:val="14"/>
          <w:lang w:val="es-MX"/>
        </w:rPr>
        <w:t>1</w:t>
      </w:r>
      <w:r w:rsidRPr="006014DF">
        <w:rPr>
          <w:rFonts w:ascii="Verdana" w:hAnsi="Verdana" w:cs="Arial"/>
          <w:sz w:val="14"/>
          <w:lang w:val="es-MX"/>
        </w:rPr>
        <w:t xml:space="preserve">0/2024 </w:t>
      </w:r>
      <w:r>
        <w:rPr>
          <w:rFonts w:ascii="Verdana" w:hAnsi="Verdana" w:cs="Arial"/>
          <w:sz w:val="14"/>
          <w:lang w:val="es-MX"/>
        </w:rPr>
        <w:t>8</w:t>
      </w:r>
      <w:r w:rsidRPr="006014DF">
        <w:rPr>
          <w:rFonts w:ascii="Verdana" w:hAnsi="Verdana" w:cs="Arial"/>
          <w:sz w:val="14"/>
          <w:lang w:val="es-MX"/>
        </w:rPr>
        <w:t>:05</w:t>
      </w:r>
    </w:p>
    <w:p w14:paraId="26ED200F" w14:textId="2657FFF9" w:rsidR="00AB38F5" w:rsidRDefault="00AB38F5" w:rsidP="00E01E7B">
      <w:pPr>
        <w:rPr>
          <w:rFonts w:ascii="Verdana" w:hAnsi="Verdana" w:cs="Arial"/>
          <w:b/>
          <w:lang w:val="es-MX"/>
        </w:rPr>
      </w:pPr>
    </w:p>
    <w:p w14:paraId="1903A942" w14:textId="77777777" w:rsidR="00040299" w:rsidRPr="00732114" w:rsidRDefault="00040299" w:rsidP="00E01E7B">
      <w:pPr>
        <w:rPr>
          <w:rFonts w:ascii="Verdana" w:hAnsi="Verdana" w:cs="Arial"/>
          <w:b/>
          <w:lang w:val="es-MX"/>
        </w:rPr>
      </w:pPr>
    </w:p>
    <w:p w14:paraId="71F3AE92" w14:textId="395D02F9" w:rsidR="00AB38F5" w:rsidRPr="00732114" w:rsidRDefault="00E01E7B" w:rsidP="00AB38F5">
      <w:pPr>
        <w:jc w:val="both"/>
        <w:rPr>
          <w:rFonts w:ascii="Verdana" w:hAnsi="Verdana" w:cs="Arial"/>
          <w:lang w:val="es-MX"/>
        </w:rPr>
      </w:pPr>
      <w:r w:rsidRPr="00732114">
        <w:rPr>
          <w:rFonts w:ascii="Verdana" w:hAnsi="Verdana" w:cs="Arial"/>
          <w:lang w:val="es-MX"/>
        </w:rPr>
        <w:t>El cuadro No. 2</w:t>
      </w:r>
      <w:r w:rsidR="00AB38F5" w:rsidRPr="00732114">
        <w:rPr>
          <w:rFonts w:ascii="Verdana" w:hAnsi="Verdana" w:cs="Arial"/>
          <w:lang w:val="es-MX"/>
        </w:rPr>
        <w:t xml:space="preserve"> detalla el comportamiento del uso de las cuotas</w:t>
      </w:r>
      <w:r w:rsidRPr="00732114">
        <w:rPr>
          <w:rFonts w:ascii="Verdana" w:hAnsi="Verdana" w:cs="Arial"/>
          <w:lang w:val="es-MX"/>
        </w:rPr>
        <w:t xml:space="preserve"> financieras</w:t>
      </w:r>
      <w:r w:rsidR="00AB38F5" w:rsidRPr="00732114">
        <w:rPr>
          <w:rFonts w:ascii="Verdana" w:hAnsi="Verdana" w:cs="Arial"/>
          <w:lang w:val="es-MX"/>
        </w:rPr>
        <w:t xml:space="preserve"> por las distintas fuentes de financiamiento:</w:t>
      </w:r>
    </w:p>
    <w:p w14:paraId="2C7D100D" w14:textId="58032E71" w:rsidR="00AB38F5" w:rsidRPr="00732114" w:rsidRDefault="00AB38F5" w:rsidP="00AB38F5">
      <w:pPr>
        <w:jc w:val="both"/>
        <w:rPr>
          <w:rFonts w:ascii="Verdana" w:hAnsi="Verdana" w:cs="Arial"/>
          <w:lang w:val="es-MX"/>
        </w:rPr>
      </w:pPr>
    </w:p>
    <w:p w14:paraId="133942D2" w14:textId="77777777" w:rsidR="00E01E7B" w:rsidRPr="00732114" w:rsidRDefault="00E01E7B" w:rsidP="00E01E7B">
      <w:pPr>
        <w:jc w:val="center"/>
        <w:rPr>
          <w:rFonts w:ascii="Verdana" w:hAnsi="Verdana" w:cs="Arial"/>
          <w:b/>
          <w:lang w:val="es-MX"/>
        </w:rPr>
      </w:pPr>
      <w:r w:rsidRPr="00732114">
        <w:rPr>
          <w:rFonts w:ascii="Verdana" w:hAnsi="Verdana" w:cs="Arial"/>
          <w:b/>
          <w:lang w:val="es-MX"/>
        </w:rPr>
        <w:t>Cuadro No. 2</w:t>
      </w:r>
    </w:p>
    <w:p w14:paraId="16C51AFA" w14:textId="76D2D20C" w:rsidR="00E01E7B" w:rsidRPr="00732114" w:rsidRDefault="00E01E7B" w:rsidP="00E01E7B">
      <w:pPr>
        <w:jc w:val="center"/>
        <w:rPr>
          <w:rFonts w:ascii="Verdana" w:hAnsi="Verdana" w:cs="Arial"/>
          <w:b/>
          <w:lang w:val="es-MX"/>
        </w:rPr>
      </w:pPr>
      <w:r w:rsidRPr="00732114">
        <w:rPr>
          <w:rFonts w:ascii="Verdana" w:hAnsi="Verdana" w:cs="Arial"/>
          <w:b/>
          <w:lang w:val="es-MX"/>
        </w:rPr>
        <w:t>Viceministerio de Inversión y Competencia</w:t>
      </w:r>
    </w:p>
    <w:p w14:paraId="22A8B480" w14:textId="77777777" w:rsidR="00E01E7B" w:rsidRPr="00732114" w:rsidRDefault="00E01E7B" w:rsidP="00E01E7B">
      <w:pPr>
        <w:jc w:val="center"/>
        <w:rPr>
          <w:rFonts w:ascii="Verdana" w:hAnsi="Verdana" w:cs="Arial"/>
          <w:b/>
          <w:lang w:val="es-MX"/>
        </w:rPr>
      </w:pPr>
      <w:r w:rsidRPr="00732114">
        <w:rPr>
          <w:rFonts w:ascii="Verdana" w:hAnsi="Verdana" w:cs="Arial"/>
          <w:b/>
          <w:lang w:val="es-MX"/>
        </w:rPr>
        <w:t>Informe de Ejecución de Cuota Financiera</w:t>
      </w:r>
    </w:p>
    <w:p w14:paraId="69156365" w14:textId="77777777" w:rsidR="00E01E7B" w:rsidRPr="00732114" w:rsidRDefault="00E01E7B" w:rsidP="00AB38F5">
      <w:pPr>
        <w:jc w:val="both"/>
        <w:rPr>
          <w:rFonts w:ascii="Verdana" w:hAnsi="Verdana" w:cs="Arial"/>
          <w:lang w:val="es-MX"/>
        </w:rPr>
      </w:pPr>
    </w:p>
    <w:p w14:paraId="54DD83AF" w14:textId="57033B71" w:rsidR="00AB38F5" w:rsidRPr="00732114" w:rsidRDefault="00AE59AB" w:rsidP="00AB38F5">
      <w:pPr>
        <w:jc w:val="both"/>
        <w:rPr>
          <w:rFonts w:ascii="Verdana" w:hAnsi="Verdana" w:cs="Arial"/>
          <w:lang w:val="es-MX"/>
        </w:rPr>
      </w:pPr>
      <w:r w:rsidRPr="00AE59AB">
        <w:rPr>
          <w:noProof/>
        </w:rPr>
        <w:drawing>
          <wp:inline distT="0" distB="0" distL="0" distR="0" wp14:anchorId="1B2E815A" wp14:editId="6672758A">
            <wp:extent cx="5611857" cy="5486400"/>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1911" cy="5496229"/>
                    </a:xfrm>
                    <a:prstGeom prst="rect">
                      <a:avLst/>
                    </a:prstGeom>
                    <a:noFill/>
                    <a:ln>
                      <a:noFill/>
                    </a:ln>
                  </pic:spPr>
                </pic:pic>
              </a:graphicData>
            </a:graphic>
          </wp:inline>
        </w:drawing>
      </w:r>
    </w:p>
    <w:p w14:paraId="5111BCEB" w14:textId="77777777" w:rsidR="00AB38F5" w:rsidRPr="00383F4B" w:rsidRDefault="00AB38F5" w:rsidP="00AB38F5">
      <w:pPr>
        <w:jc w:val="center"/>
        <w:rPr>
          <w:rFonts w:ascii="Verdana" w:hAnsi="Verdana" w:cs="Arial"/>
          <w:b/>
          <w:color w:val="000000" w:themeColor="text1"/>
          <w:sz w:val="16"/>
        </w:rPr>
      </w:pPr>
    </w:p>
    <w:p w14:paraId="54A7C1C1" w14:textId="233A8EDE" w:rsidR="00AB38F5" w:rsidRPr="00732114" w:rsidRDefault="009E1F4C" w:rsidP="000B5AEB">
      <w:pPr>
        <w:jc w:val="center"/>
        <w:rPr>
          <w:rFonts w:ascii="Verdana" w:hAnsi="Verdana"/>
        </w:rPr>
      </w:pPr>
      <w:r w:rsidRPr="006014DF">
        <w:rPr>
          <w:rFonts w:ascii="Verdana" w:hAnsi="Verdana" w:cs="Arial"/>
          <w:b/>
          <w:sz w:val="14"/>
          <w:lang w:val="es-MX"/>
        </w:rPr>
        <w:t>Fuente:</w:t>
      </w:r>
      <w:r w:rsidRPr="006014DF">
        <w:rPr>
          <w:rFonts w:ascii="Verdana" w:hAnsi="Verdana" w:cs="Arial"/>
          <w:sz w:val="14"/>
          <w:lang w:val="es-MX"/>
        </w:rPr>
        <w:t xml:space="preserve"> Sistema de Contabilidad Integrada (</w:t>
      </w:r>
      <w:proofErr w:type="spellStart"/>
      <w:r w:rsidRPr="006014DF">
        <w:rPr>
          <w:rFonts w:ascii="Verdana" w:hAnsi="Verdana" w:cs="Arial"/>
          <w:sz w:val="14"/>
          <w:lang w:val="es-MX"/>
        </w:rPr>
        <w:t>Sicoin</w:t>
      </w:r>
      <w:proofErr w:type="spellEnd"/>
      <w:r w:rsidRPr="006014DF">
        <w:rPr>
          <w:rFonts w:ascii="Verdana" w:hAnsi="Verdana" w:cs="Arial"/>
          <w:sz w:val="14"/>
          <w:lang w:val="es-MX"/>
        </w:rPr>
        <w:t>) 0</w:t>
      </w:r>
      <w:r>
        <w:rPr>
          <w:rFonts w:ascii="Verdana" w:hAnsi="Verdana" w:cs="Arial"/>
          <w:sz w:val="14"/>
          <w:lang w:val="es-MX"/>
        </w:rPr>
        <w:t>1</w:t>
      </w:r>
      <w:r w:rsidRPr="006014DF">
        <w:rPr>
          <w:rFonts w:ascii="Verdana" w:hAnsi="Verdana" w:cs="Arial"/>
          <w:sz w:val="14"/>
          <w:lang w:val="es-MX"/>
        </w:rPr>
        <w:t>/</w:t>
      </w:r>
      <w:r>
        <w:rPr>
          <w:rFonts w:ascii="Verdana" w:hAnsi="Verdana" w:cs="Arial"/>
          <w:sz w:val="14"/>
          <w:lang w:val="es-MX"/>
        </w:rPr>
        <w:t>1</w:t>
      </w:r>
      <w:r w:rsidRPr="006014DF">
        <w:rPr>
          <w:rFonts w:ascii="Verdana" w:hAnsi="Verdana" w:cs="Arial"/>
          <w:sz w:val="14"/>
          <w:lang w:val="es-MX"/>
        </w:rPr>
        <w:t xml:space="preserve">0/2024 </w:t>
      </w:r>
      <w:r>
        <w:rPr>
          <w:rFonts w:ascii="Verdana" w:hAnsi="Verdana" w:cs="Arial"/>
          <w:sz w:val="14"/>
          <w:lang w:val="es-MX"/>
        </w:rPr>
        <w:t>8</w:t>
      </w:r>
      <w:r w:rsidRPr="006014DF">
        <w:rPr>
          <w:rFonts w:ascii="Verdana" w:hAnsi="Verdana" w:cs="Arial"/>
          <w:sz w:val="14"/>
          <w:lang w:val="es-MX"/>
        </w:rPr>
        <w:t>:05</w:t>
      </w:r>
    </w:p>
    <w:p w14:paraId="42C0E161" w14:textId="77777777" w:rsidR="00AB38F5" w:rsidRPr="00732114" w:rsidRDefault="00AB38F5" w:rsidP="00AB38F5">
      <w:pPr>
        <w:rPr>
          <w:rFonts w:ascii="Verdana" w:hAnsi="Verdana"/>
        </w:rPr>
      </w:pPr>
    </w:p>
    <w:sectPr w:rsidR="00AB38F5" w:rsidRPr="00732114" w:rsidSect="001B4703">
      <w:headerReference w:type="even" r:id="rId11"/>
      <w:headerReference w:type="default" r:id="rId12"/>
      <w:footerReference w:type="even" r:id="rId13"/>
      <w:footerReference w:type="default" r:id="rId14"/>
      <w:headerReference w:type="first" r:id="rId15"/>
      <w:footerReference w:type="first" r:id="rId16"/>
      <w:pgSz w:w="12240" w:h="15840"/>
      <w:pgMar w:top="243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36A48" w14:textId="77777777" w:rsidR="00010788" w:rsidRDefault="00010788" w:rsidP="00950217">
      <w:r>
        <w:separator/>
      </w:r>
    </w:p>
  </w:endnote>
  <w:endnote w:type="continuationSeparator" w:id="0">
    <w:p w14:paraId="4FF3E302" w14:textId="77777777" w:rsidR="00010788" w:rsidRDefault="00010788" w:rsidP="0095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4D0D3" w14:textId="77777777" w:rsidR="00ED2FA1" w:rsidRDefault="00ED2F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A1189" w14:textId="0B1D01B9" w:rsidR="00ED2FA1" w:rsidRDefault="00ED2FA1">
    <w:pPr>
      <w:pStyle w:val="Piedepgina"/>
    </w:pPr>
    <w:r>
      <w:rPr>
        <w:noProof/>
        <w:lang w:eastAsia="es-GT"/>
      </w:rPr>
      <w:drawing>
        <wp:anchor distT="0" distB="0" distL="114300" distR="114300" simplePos="0" relativeHeight="251658240" behindDoc="1" locked="0" layoutInCell="1" allowOverlap="1" wp14:anchorId="72D7BFB7" wp14:editId="023759CF">
          <wp:simplePos x="0" y="0"/>
          <wp:positionH relativeFrom="margin">
            <wp:align>center</wp:align>
          </wp:positionH>
          <wp:positionV relativeFrom="paragraph">
            <wp:posOffset>-278765</wp:posOffset>
          </wp:positionV>
          <wp:extent cx="7981772" cy="925989"/>
          <wp:effectExtent l="0" t="0" r="635" b="7620"/>
          <wp:wrapNone/>
          <wp:docPr id="6195608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75D6A" w14:textId="77777777" w:rsidR="00ED2FA1" w:rsidRDefault="00ED2F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522F7" w14:textId="77777777" w:rsidR="00010788" w:rsidRDefault="00010788" w:rsidP="00950217">
      <w:r>
        <w:separator/>
      </w:r>
    </w:p>
  </w:footnote>
  <w:footnote w:type="continuationSeparator" w:id="0">
    <w:p w14:paraId="4FCEBB1B" w14:textId="77777777" w:rsidR="00010788" w:rsidRDefault="00010788" w:rsidP="00950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A389" w14:textId="77777777" w:rsidR="00ED2FA1" w:rsidRDefault="00ED2F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99DC" w14:textId="636D1C2E" w:rsidR="00ED2FA1" w:rsidRDefault="00ED2FA1">
    <w:pPr>
      <w:pStyle w:val="Encabezado"/>
    </w:pPr>
    <w:r>
      <w:rPr>
        <w:noProof/>
        <w:lang w:eastAsia="es-GT"/>
      </w:rPr>
      <w:drawing>
        <wp:anchor distT="0" distB="0" distL="114300" distR="114300" simplePos="0" relativeHeight="251657216" behindDoc="1" locked="0" layoutInCell="1" allowOverlap="1" wp14:anchorId="6BDEEEAB" wp14:editId="7D06F49F">
          <wp:simplePos x="0" y="0"/>
          <wp:positionH relativeFrom="page">
            <wp:align>left</wp:align>
          </wp:positionH>
          <wp:positionV relativeFrom="paragraph">
            <wp:posOffset>-192405</wp:posOffset>
          </wp:positionV>
          <wp:extent cx="7753350" cy="1283452"/>
          <wp:effectExtent l="0" t="0" r="0" b="0"/>
          <wp:wrapNone/>
          <wp:docPr id="922632323"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53350" cy="12834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5825" w14:textId="77777777" w:rsidR="00ED2FA1" w:rsidRDefault="00ED2F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217"/>
    <w:rsid w:val="00010788"/>
    <w:rsid w:val="00040299"/>
    <w:rsid w:val="00062442"/>
    <w:rsid w:val="000638DF"/>
    <w:rsid w:val="000B5AEB"/>
    <w:rsid w:val="000F6B0C"/>
    <w:rsid w:val="00100102"/>
    <w:rsid w:val="00142F8F"/>
    <w:rsid w:val="00166D19"/>
    <w:rsid w:val="00183A5B"/>
    <w:rsid w:val="001913DA"/>
    <w:rsid w:val="001952E8"/>
    <w:rsid w:val="001B245F"/>
    <w:rsid w:val="001B4703"/>
    <w:rsid w:val="00210269"/>
    <w:rsid w:val="002204FB"/>
    <w:rsid w:val="0024654A"/>
    <w:rsid w:val="00275CAA"/>
    <w:rsid w:val="002A561E"/>
    <w:rsid w:val="002A7104"/>
    <w:rsid w:val="002C2478"/>
    <w:rsid w:val="002C38CB"/>
    <w:rsid w:val="002E52C2"/>
    <w:rsid w:val="002F17ED"/>
    <w:rsid w:val="00313F7D"/>
    <w:rsid w:val="0037225F"/>
    <w:rsid w:val="00383F4B"/>
    <w:rsid w:val="003F54EC"/>
    <w:rsid w:val="00441015"/>
    <w:rsid w:val="004D43EC"/>
    <w:rsid w:val="00507D19"/>
    <w:rsid w:val="00593C7D"/>
    <w:rsid w:val="0059682B"/>
    <w:rsid w:val="005C4EEB"/>
    <w:rsid w:val="005C61BD"/>
    <w:rsid w:val="005E2E7E"/>
    <w:rsid w:val="005E600B"/>
    <w:rsid w:val="005F5695"/>
    <w:rsid w:val="00607F76"/>
    <w:rsid w:val="006167A2"/>
    <w:rsid w:val="006B3B0D"/>
    <w:rsid w:val="006E1C78"/>
    <w:rsid w:val="006E32FB"/>
    <w:rsid w:val="006E79D6"/>
    <w:rsid w:val="0071329B"/>
    <w:rsid w:val="00732114"/>
    <w:rsid w:val="00733A93"/>
    <w:rsid w:val="008254BC"/>
    <w:rsid w:val="00870270"/>
    <w:rsid w:val="008723E7"/>
    <w:rsid w:val="00891D77"/>
    <w:rsid w:val="008973EC"/>
    <w:rsid w:val="008A58DA"/>
    <w:rsid w:val="008E47E2"/>
    <w:rsid w:val="0090788B"/>
    <w:rsid w:val="00927BDC"/>
    <w:rsid w:val="00950217"/>
    <w:rsid w:val="009571B6"/>
    <w:rsid w:val="009754CE"/>
    <w:rsid w:val="009B035D"/>
    <w:rsid w:val="009C40EB"/>
    <w:rsid w:val="009E1F4C"/>
    <w:rsid w:val="009F6A1D"/>
    <w:rsid w:val="009F7CFB"/>
    <w:rsid w:val="00A020F8"/>
    <w:rsid w:val="00A07044"/>
    <w:rsid w:val="00A11628"/>
    <w:rsid w:val="00A34B00"/>
    <w:rsid w:val="00A57D2A"/>
    <w:rsid w:val="00AB38F5"/>
    <w:rsid w:val="00AC73B4"/>
    <w:rsid w:val="00AE59AB"/>
    <w:rsid w:val="00B55A30"/>
    <w:rsid w:val="00BB35A3"/>
    <w:rsid w:val="00BE4C5C"/>
    <w:rsid w:val="00BE4DD6"/>
    <w:rsid w:val="00BE6DE5"/>
    <w:rsid w:val="00BF205D"/>
    <w:rsid w:val="00C07E0B"/>
    <w:rsid w:val="00C55824"/>
    <w:rsid w:val="00C64308"/>
    <w:rsid w:val="00C72F67"/>
    <w:rsid w:val="00CB25CE"/>
    <w:rsid w:val="00CB2A75"/>
    <w:rsid w:val="00CD15FB"/>
    <w:rsid w:val="00CF2ACD"/>
    <w:rsid w:val="00CF72F1"/>
    <w:rsid w:val="00D266EB"/>
    <w:rsid w:val="00DA4F9A"/>
    <w:rsid w:val="00DD720C"/>
    <w:rsid w:val="00E01E7B"/>
    <w:rsid w:val="00E07DC6"/>
    <w:rsid w:val="00E21A0D"/>
    <w:rsid w:val="00E301A8"/>
    <w:rsid w:val="00E40F53"/>
    <w:rsid w:val="00EB2464"/>
    <w:rsid w:val="00ED2FA1"/>
    <w:rsid w:val="00EE2B1A"/>
    <w:rsid w:val="00EF05FE"/>
    <w:rsid w:val="00F27518"/>
    <w:rsid w:val="00F3183C"/>
    <w:rsid w:val="00F61D80"/>
    <w:rsid w:val="00F7732C"/>
    <w:rsid w:val="00F8626B"/>
    <w:rsid w:val="00FB2180"/>
    <w:rsid w:val="00FB4425"/>
    <w:rsid w:val="00FD7D6E"/>
    <w:rsid w:val="1A98FAC5"/>
    <w:rsid w:val="2E83A0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2ED2"/>
  <w15:docId w15:val="{5BCDE7AD-94F1-4669-9BD5-B948C313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217"/>
    <w:pPr>
      <w:tabs>
        <w:tab w:val="center" w:pos="4419"/>
        <w:tab w:val="right" w:pos="8838"/>
      </w:tabs>
    </w:pPr>
  </w:style>
  <w:style w:type="character" w:customStyle="1" w:styleId="EncabezadoCar">
    <w:name w:val="Encabezado Car"/>
    <w:basedOn w:val="Fuentedeprrafopredeter"/>
    <w:link w:val="Encabezado"/>
    <w:uiPriority w:val="99"/>
    <w:rsid w:val="00950217"/>
  </w:style>
  <w:style w:type="paragraph" w:styleId="Piedepgina">
    <w:name w:val="footer"/>
    <w:basedOn w:val="Normal"/>
    <w:link w:val="PiedepginaCar"/>
    <w:uiPriority w:val="99"/>
    <w:unhideWhenUsed/>
    <w:rsid w:val="00950217"/>
    <w:pPr>
      <w:tabs>
        <w:tab w:val="center" w:pos="4419"/>
        <w:tab w:val="right" w:pos="8838"/>
      </w:tabs>
    </w:pPr>
  </w:style>
  <w:style w:type="character" w:customStyle="1" w:styleId="PiedepginaCar">
    <w:name w:val="Pie de página Car"/>
    <w:basedOn w:val="Fuentedeprrafopredeter"/>
    <w:link w:val="Piedepgina"/>
    <w:uiPriority w:val="99"/>
    <w:rsid w:val="00950217"/>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8973EC"/>
    <w:rPr>
      <w:kern w:val="0"/>
      <w:sz w:val="22"/>
      <w:szCs w:val="22"/>
      <w:lang w:val="es-ES"/>
      <w14:ligatures w14:val="none"/>
    </w:rPr>
  </w:style>
  <w:style w:type="table" w:styleId="Tablaconcuadrcula">
    <w:name w:val="Table Grid"/>
    <w:basedOn w:val="Tablanormal"/>
    <w:uiPriority w:val="39"/>
    <w:rsid w:val="002C2478"/>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38F5"/>
    <w:pPr>
      <w:spacing w:before="100" w:beforeAutospacing="1" w:after="100" w:afterAutospacing="1"/>
    </w:pPr>
    <w:rPr>
      <w:rFonts w:ascii="Times New Roman" w:eastAsia="Times New Roman" w:hAnsi="Times New Roman" w:cs="Times New Roman"/>
      <w:kern w:val="0"/>
      <w:lang w:eastAsia="es-ES_tradnl"/>
      <w14:ligatures w14:val="none"/>
    </w:rPr>
  </w:style>
  <w:style w:type="paragraph" w:styleId="Textoindependiente">
    <w:name w:val="Body Text"/>
    <w:basedOn w:val="Normal"/>
    <w:link w:val="TextoindependienteCar"/>
    <w:unhideWhenUsed/>
    <w:rsid w:val="00AB38F5"/>
    <w:pPr>
      <w:ind w:right="-57"/>
    </w:pPr>
    <w:rPr>
      <w:rFonts w:ascii="Arial" w:eastAsia="Times New Roman" w:hAnsi="Arial" w:cs="Times New Roman"/>
      <w:kern w:val="0"/>
      <w:szCs w:val="20"/>
      <w:lang w:eastAsia="es-ES"/>
      <w14:ligatures w14:val="none"/>
    </w:rPr>
  </w:style>
  <w:style w:type="character" w:customStyle="1" w:styleId="TextoindependienteCar">
    <w:name w:val="Texto independiente Car"/>
    <w:basedOn w:val="Fuentedeprrafopredeter"/>
    <w:link w:val="Textoindependiente"/>
    <w:rsid w:val="00AB38F5"/>
    <w:rPr>
      <w:rFonts w:ascii="Arial" w:eastAsia="Times New Roman" w:hAnsi="Arial" w:cs="Times New Roman"/>
      <w:kern w:val="0"/>
      <w:szCs w:val="20"/>
      <w:lang w:eastAsia="es-ES"/>
      <w14:ligatures w14:val="none"/>
    </w:rPr>
  </w:style>
  <w:style w:type="paragraph" w:styleId="Textonotaalfinal">
    <w:name w:val="endnote text"/>
    <w:basedOn w:val="Normal"/>
    <w:link w:val="TextonotaalfinalCar"/>
    <w:uiPriority w:val="99"/>
    <w:semiHidden/>
    <w:unhideWhenUsed/>
    <w:rsid w:val="00275CAA"/>
    <w:rPr>
      <w:sz w:val="20"/>
      <w:szCs w:val="20"/>
    </w:rPr>
  </w:style>
  <w:style w:type="character" w:customStyle="1" w:styleId="TextonotaalfinalCar">
    <w:name w:val="Texto nota al final Car"/>
    <w:basedOn w:val="Fuentedeprrafopredeter"/>
    <w:link w:val="Textonotaalfinal"/>
    <w:uiPriority w:val="99"/>
    <w:semiHidden/>
    <w:rsid w:val="00275CAA"/>
    <w:rPr>
      <w:sz w:val="20"/>
      <w:szCs w:val="20"/>
    </w:rPr>
  </w:style>
  <w:style w:type="character" w:styleId="Refdenotaalfinal">
    <w:name w:val="endnote reference"/>
    <w:basedOn w:val="Fuentedeprrafopredeter"/>
    <w:uiPriority w:val="99"/>
    <w:semiHidden/>
    <w:unhideWhenUsed/>
    <w:rsid w:val="00275C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045C5-AB23-49EB-8E30-4A7588AC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368</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arrivillaga</dc:creator>
  <cp:lastModifiedBy>Jaime René Hernández</cp:lastModifiedBy>
  <cp:revision>73</cp:revision>
  <cp:lastPrinted>2024-05-10T01:10:00Z</cp:lastPrinted>
  <dcterms:created xsi:type="dcterms:W3CDTF">2024-02-01T19:35:00Z</dcterms:created>
  <dcterms:modified xsi:type="dcterms:W3CDTF">2024-10-02T00:20:00Z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715555313</vt:i4>
  </property>
</Properties>
</file>