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E8EE" w14:textId="77777777" w:rsidR="00675EF5" w:rsidRPr="007A7938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  <w:bookmarkStart w:id="0" w:name="_GoBack"/>
      <w:bookmarkEnd w:id="0"/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47A39E3C" w:rsidR="00C074DA" w:rsidRPr="007A7938" w:rsidRDefault="004519CB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Septiembre</w:t>
      </w:r>
      <w:r w:rsidR="00DB4BFF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B93F09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Ministerio de Economía</w:t>
      </w: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3B684FC2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2BC89DF8" w14:textId="06F51AD3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432672BE" w:rsidR="00C074DA" w:rsidRPr="007A7938" w:rsidRDefault="004519CB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SEPTIEMBRE</w:t>
      </w:r>
      <w:r w:rsidR="00C074DA" w:rsidRPr="007A7938">
        <w:rPr>
          <w:rFonts w:ascii="Verdana" w:hAnsi="Verdana" w:cs="Arial"/>
          <w:b/>
          <w:lang w:val="es-MX"/>
        </w:rPr>
        <w:t xml:space="preserve"> 2024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19DA183C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de Asuntos Registrales es la dependencia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efectividad de la gestión registral, promover la integralidad de los sistemas de información registrales, impulsar sistemas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 w:rsidRPr="007A7938">
        <w:rPr>
          <w:rFonts w:ascii="Verdana" w:eastAsia="Calibri" w:hAnsi="Verdana" w:cs="Arial"/>
          <w:szCs w:val="24"/>
          <w:lang w:val="es-MX" w:eastAsia="en-US"/>
        </w:rPr>
        <w:t xml:space="preserve">así como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verificar que 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7A7938">
        <w:rPr>
          <w:rFonts w:ascii="Verdana" w:eastAsia="Calibri" w:hAnsi="Verdana" w:cs="Arial"/>
          <w:szCs w:val="24"/>
          <w:lang w:val="es-MX" w:eastAsia="en-US"/>
        </w:rPr>
        <w:t>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0648CC90" w:rsidR="00C074DA" w:rsidRPr="007A7938" w:rsidRDefault="00B90C8D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>El Viceministerio de Asuntos Registrales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7A7938">
        <w:rPr>
          <w:rFonts w:ascii="Verdana" w:eastAsia="Calibri" w:hAnsi="Verdana" w:cs="Arial"/>
          <w:szCs w:val="24"/>
          <w:lang w:val="es-MX" w:eastAsia="en-US"/>
        </w:rPr>
        <w:t>tiene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un presupuesto de </w:t>
      </w:r>
      <w:proofErr w:type="spellStart"/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76,615,706.00</w:t>
      </w:r>
      <w:proofErr w:type="spellEnd"/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teniendo un incremento presupuestario por la cantidad de </w:t>
      </w:r>
      <w:proofErr w:type="spellStart"/>
      <w:r w:rsidR="009903A6">
        <w:rPr>
          <w:rFonts w:ascii="Verdana" w:eastAsia="Calibri" w:hAnsi="Verdana" w:cs="Arial"/>
          <w:szCs w:val="24"/>
          <w:lang w:val="es-MX" w:eastAsia="en-US"/>
        </w:rPr>
        <w:t>Q.152,200.00</w:t>
      </w:r>
      <w:proofErr w:type="spellEnd"/>
      <w:r w:rsidR="009903A6">
        <w:rPr>
          <w:rFonts w:ascii="Verdana" w:eastAsia="Calibri" w:hAnsi="Verdana" w:cs="Arial"/>
          <w:szCs w:val="24"/>
          <w:lang w:val="es-MX" w:eastAsia="en-US"/>
        </w:rPr>
        <w:t xml:space="preserve"> para cubrir el pago de nómina, contando con un presupuesto vigente de </w:t>
      </w:r>
      <w:proofErr w:type="spellStart"/>
      <w:r w:rsidR="009903A6" w:rsidRPr="009903A6">
        <w:rPr>
          <w:rFonts w:ascii="Verdana" w:eastAsia="Calibri" w:hAnsi="Verdana" w:cs="Arial"/>
          <w:b/>
          <w:szCs w:val="24"/>
          <w:lang w:val="es-MX" w:eastAsia="en-US"/>
        </w:rPr>
        <w:t>Q76.7</w:t>
      </w:r>
      <w:proofErr w:type="spellEnd"/>
      <w:r w:rsidR="009903A6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de lo cual al cierre de </w:t>
      </w:r>
      <w:r w:rsidR="004519CB">
        <w:rPr>
          <w:rFonts w:ascii="Verdana" w:eastAsia="Calibri" w:hAnsi="Verdana" w:cs="Arial"/>
          <w:szCs w:val="24"/>
          <w:lang w:val="es-MX" w:eastAsia="en-US"/>
        </w:rPr>
        <w:t>septiembre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proofErr w:type="spellStart"/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19CB">
        <w:rPr>
          <w:rFonts w:ascii="Verdana" w:eastAsia="Calibri" w:hAnsi="Verdana" w:cs="Arial"/>
          <w:b/>
          <w:szCs w:val="24"/>
          <w:lang w:val="es-MX" w:eastAsia="en-US"/>
        </w:rPr>
        <w:t>42.2</w:t>
      </w:r>
      <w:proofErr w:type="spellEnd"/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millones de quetzales equivalente a un </w:t>
      </w:r>
      <w:r w:rsidR="004519CB">
        <w:rPr>
          <w:rFonts w:ascii="Verdana" w:eastAsia="Calibri" w:hAnsi="Verdana" w:cs="Arial"/>
          <w:b/>
          <w:bCs/>
          <w:szCs w:val="24"/>
          <w:lang w:val="es-MX" w:eastAsia="en-US"/>
        </w:rPr>
        <w:t>55.08</w:t>
      </w:r>
      <w:r w:rsidR="00C074DA" w:rsidRPr="007A7938">
        <w:rPr>
          <w:rFonts w:ascii="Verdana" w:eastAsia="Calibri" w:hAnsi="Verdana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49758C70" w14:textId="1FF4CEE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0DB3131F" w14:textId="342C7275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75C3A12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410B8CB" w14:textId="7E9F8AA8" w:rsidR="00C074DA" w:rsidRPr="007A7938" w:rsidRDefault="00133ED3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E4B01B5" wp14:editId="00FB2548">
            <wp:extent cx="4548949" cy="3028969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528" cy="304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7E687D04" w:rsidR="009A4BF3" w:rsidRDefault="009A4BF3" w:rsidP="009A4BF3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133ED3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 w:rsidR="00133ED3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 w:rsidR="00133ED3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0327818" w14:textId="16812AA6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0FD6DCF6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40E78E74" w:rsidR="00C074DA" w:rsidRDefault="0080698C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37F5D23" wp14:editId="0EB89CD6">
            <wp:simplePos x="0" y="0"/>
            <wp:positionH relativeFrom="margin">
              <wp:posOffset>-534035</wp:posOffset>
            </wp:positionH>
            <wp:positionV relativeFrom="paragraph">
              <wp:posOffset>202565</wp:posOffset>
            </wp:positionV>
            <wp:extent cx="6684010" cy="5575300"/>
            <wp:effectExtent l="0" t="0" r="2540" b="6350"/>
            <wp:wrapTight wrapText="bothSides">
              <wp:wrapPolygon edited="0">
                <wp:start x="0" y="0"/>
                <wp:lineTo x="0" y="21551"/>
                <wp:lineTo x="21547" y="21551"/>
                <wp:lineTo x="2154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557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4DA" w:rsidRPr="007A7938">
        <w:rPr>
          <w:rFonts w:ascii="Verdana" w:hAnsi="Verdana" w:cs="Arial"/>
          <w:b/>
          <w:lang w:val="es-MX"/>
        </w:rPr>
        <w:t xml:space="preserve">Ejecución </w:t>
      </w:r>
      <w:r w:rsidR="00675EF5" w:rsidRPr="007A7938">
        <w:rPr>
          <w:rFonts w:ascii="Verdana" w:hAnsi="Verdana" w:cs="Arial"/>
          <w:b/>
          <w:lang w:val="es-MX"/>
        </w:rPr>
        <w:t>P</w:t>
      </w:r>
      <w:r w:rsidR="00C074DA" w:rsidRPr="007A7938">
        <w:rPr>
          <w:rFonts w:ascii="Verdana" w:hAnsi="Verdana" w:cs="Arial"/>
          <w:b/>
          <w:lang w:val="es-MX"/>
        </w:rPr>
        <w:t>resupuestaria</w:t>
      </w:r>
    </w:p>
    <w:p w14:paraId="789662C4" w14:textId="77777777" w:rsidR="0080698C" w:rsidRDefault="0080698C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91BA510" w14:textId="43A5C3B0" w:rsidR="00C074DA" w:rsidRPr="007A7938" w:rsidRDefault="0080698C" w:rsidP="00C074DA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4980905" w14:textId="0CBE984E" w:rsidR="00C074DA" w:rsidRPr="007A7938" w:rsidRDefault="00C074DA" w:rsidP="00C074DA">
      <w:pPr>
        <w:jc w:val="center"/>
        <w:rPr>
          <w:rFonts w:ascii="Verdana" w:hAnsi="Verdana" w:cs="Arial"/>
          <w:lang w:val="es-MX"/>
        </w:rPr>
      </w:pPr>
    </w:p>
    <w:p w14:paraId="09CDBCA3" w14:textId="557DD28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579EB841" w14:textId="0881408D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 xml:space="preserve">El cuadro No. 1 presenta la ejecución </w:t>
      </w:r>
      <w:r w:rsidR="00C511F4" w:rsidRPr="007A7938">
        <w:rPr>
          <w:rFonts w:ascii="Verdana" w:hAnsi="Verdana" w:cs="Arial"/>
          <w:lang w:val="es-MX"/>
        </w:rPr>
        <w:t xml:space="preserve">presupuestaria </w:t>
      </w:r>
      <w:r w:rsidRPr="007A7938">
        <w:rPr>
          <w:rFonts w:ascii="Verdana" w:hAnsi="Verdana" w:cs="Arial"/>
          <w:lang w:val="es-MX"/>
        </w:rPr>
        <w:t>de los gastos del</w:t>
      </w:r>
      <w:r w:rsidR="00C074DA" w:rsidRPr="007A7938">
        <w:rPr>
          <w:rFonts w:ascii="Verdana" w:hAnsi="Verdana" w:cs="Arial"/>
          <w:lang w:val="es-MX"/>
        </w:rPr>
        <w:t xml:space="preserve"> Viceministerio de Asuntos Registrales</w:t>
      </w:r>
      <w:r w:rsidR="00DC2D2A" w:rsidRPr="007A7938">
        <w:rPr>
          <w:rFonts w:ascii="Verdana" w:hAnsi="Verdana" w:cs="Arial"/>
          <w:lang w:val="es-MX"/>
        </w:rPr>
        <w:t>, los cuales en su mayoría se concentran en pago de nómina, serv</w:t>
      </w:r>
      <w:r w:rsidR="00CA1ED9" w:rsidRPr="007A7938">
        <w:rPr>
          <w:rFonts w:ascii="Verdana" w:hAnsi="Verdana" w:cs="Arial"/>
          <w:lang w:val="es-MX"/>
        </w:rPr>
        <w:t>icios, materiales, suministros,</w:t>
      </w:r>
      <w:r w:rsidR="00DC2D2A" w:rsidRPr="007A7938">
        <w:rPr>
          <w:rFonts w:ascii="Verdana" w:hAnsi="Verdana" w:cs="Arial"/>
          <w:lang w:val="es-MX"/>
        </w:rPr>
        <w:t xml:space="preserve"> equipo</w:t>
      </w:r>
      <w:r w:rsidR="00CA1ED9" w:rsidRPr="007A7938">
        <w:rPr>
          <w:rFonts w:ascii="Verdana" w:hAnsi="Verdana" w:cs="Arial"/>
          <w:lang w:val="es-MX"/>
        </w:rPr>
        <w:t>, prestaciones laborales y sentencias judiciales</w:t>
      </w:r>
      <w:r w:rsidR="00C074DA" w:rsidRPr="007A7938">
        <w:rPr>
          <w:rFonts w:ascii="Verdana" w:hAnsi="Verdana" w:cs="Arial"/>
          <w:lang w:val="es-MX"/>
        </w:rPr>
        <w:t>:</w:t>
      </w:r>
    </w:p>
    <w:p w14:paraId="7F0F76FB" w14:textId="58BBDD9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05E100FF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17B504D" w14:textId="3D446B24" w:rsidR="00C074DA" w:rsidRPr="007A7938" w:rsidRDefault="00502924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72C45CE1" w14:textId="41F19739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</w:p>
    <w:p w14:paraId="722C2BCE" w14:textId="0F2024F2" w:rsidR="00C074DA" w:rsidRPr="007A7938" w:rsidRDefault="0080698C" w:rsidP="00C074DA">
      <w:pPr>
        <w:jc w:val="center"/>
        <w:rPr>
          <w:rFonts w:ascii="Verdana" w:hAnsi="Verdana" w:cs="Arial"/>
          <w:b/>
          <w:lang w:val="es-MX"/>
        </w:rPr>
      </w:pPr>
      <w:r w:rsidRPr="0080698C">
        <w:drawing>
          <wp:inline distT="0" distB="0" distL="0" distR="0" wp14:anchorId="043AD565" wp14:editId="4276271D">
            <wp:extent cx="5611606" cy="6623050"/>
            <wp:effectExtent l="0" t="0" r="825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2" cy="662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33DB" w14:textId="77777777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6495697F" w14:textId="2772E445" w:rsidR="008220D6" w:rsidRDefault="0080698C" w:rsidP="009A4BF3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58DC5860" w14:textId="77777777" w:rsidR="009A4BF3" w:rsidRPr="007A7938" w:rsidRDefault="009A4BF3" w:rsidP="008220D6">
      <w:pPr>
        <w:rPr>
          <w:rFonts w:ascii="Verdana" w:hAnsi="Verdana" w:cs="Arial"/>
          <w:lang w:val="es-MX"/>
        </w:rPr>
      </w:pPr>
    </w:p>
    <w:p w14:paraId="047646CC" w14:textId="68CC532A" w:rsidR="00C074DA" w:rsidRPr="007A7938" w:rsidRDefault="00841AFD" w:rsidP="00C074DA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 xml:space="preserve">El cuadro No. 2 detalla </w:t>
      </w:r>
      <w:r w:rsidR="00C074DA" w:rsidRPr="007A7938">
        <w:rPr>
          <w:rFonts w:ascii="Verdana" w:hAnsi="Verdana" w:cs="Arial"/>
          <w:lang w:val="es-MX"/>
        </w:rPr>
        <w:t>el comportamiento del uso de las cuotas</w:t>
      </w:r>
      <w:r w:rsidRPr="007A7938">
        <w:rPr>
          <w:rFonts w:ascii="Verdana" w:hAnsi="Verdana" w:cs="Arial"/>
          <w:lang w:val="es-MX"/>
        </w:rPr>
        <w:t xml:space="preserve"> financieras</w:t>
      </w:r>
      <w:r w:rsidR="00C074DA" w:rsidRPr="007A7938">
        <w:rPr>
          <w:rFonts w:ascii="Verdana" w:hAnsi="Verdana" w:cs="Arial"/>
          <w:lang w:val="es-MX"/>
        </w:rPr>
        <w:t xml:space="preserve"> por las distintas fuentes de financiamiento:</w:t>
      </w:r>
    </w:p>
    <w:p w14:paraId="4886BE13" w14:textId="64832B77" w:rsidR="00C074DA" w:rsidRPr="007A7938" w:rsidRDefault="00C074DA" w:rsidP="00C074DA">
      <w:pPr>
        <w:rPr>
          <w:rFonts w:ascii="Verdana" w:hAnsi="Verdana" w:cs="Arial"/>
          <w:b/>
          <w:lang w:val="es-MX"/>
        </w:rPr>
      </w:pPr>
    </w:p>
    <w:p w14:paraId="182D2065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EBA7DA" w14:textId="32935BCB" w:rsidR="00841AFD" w:rsidRPr="007A7938" w:rsidRDefault="00841AFD" w:rsidP="00C074DA">
      <w:pPr>
        <w:rPr>
          <w:rFonts w:ascii="Verdana" w:hAnsi="Verdana" w:cs="Arial"/>
          <w:b/>
          <w:lang w:val="es-MX"/>
        </w:rPr>
      </w:pPr>
    </w:p>
    <w:p w14:paraId="7436C10E" w14:textId="28113EF8" w:rsidR="00C074DA" w:rsidRPr="007A7938" w:rsidRDefault="004046B0" w:rsidP="00C074DA">
      <w:pPr>
        <w:rPr>
          <w:rFonts w:ascii="Verdana" w:hAnsi="Verdana" w:cs="Arial"/>
          <w:lang w:val="es-MX"/>
        </w:rPr>
      </w:pPr>
      <w:r w:rsidRPr="004046B0">
        <w:drawing>
          <wp:inline distT="0" distB="0" distL="0" distR="0" wp14:anchorId="227078F4" wp14:editId="06E8E784">
            <wp:extent cx="5611326" cy="37973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56" cy="38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Pr="00903A23" w:rsidRDefault="00C074DA" w:rsidP="00C074DA">
      <w:pPr>
        <w:ind w:left="1416" w:firstLine="708"/>
        <w:rPr>
          <w:rFonts w:ascii="Verdana" w:hAnsi="Verdana" w:cs="Arial"/>
          <w:sz w:val="16"/>
          <w:lang w:val="es-MX"/>
        </w:rPr>
      </w:pPr>
    </w:p>
    <w:p w14:paraId="7646EDC3" w14:textId="268F950C" w:rsidR="00C074DA" w:rsidRPr="007A7938" w:rsidRDefault="0080698C" w:rsidP="00903A23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FBB9" w14:textId="77777777" w:rsidR="00A5200F" w:rsidRDefault="00A5200F" w:rsidP="00950217">
      <w:r>
        <w:separator/>
      </w:r>
    </w:p>
  </w:endnote>
  <w:endnote w:type="continuationSeparator" w:id="0">
    <w:p w14:paraId="62301202" w14:textId="77777777" w:rsidR="00A5200F" w:rsidRDefault="00A5200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AC7A" w14:textId="77777777" w:rsidR="00A5200F" w:rsidRDefault="00A5200F" w:rsidP="00950217">
      <w:r>
        <w:separator/>
      </w:r>
    </w:p>
  </w:footnote>
  <w:footnote w:type="continuationSeparator" w:id="0">
    <w:p w14:paraId="372E977C" w14:textId="77777777" w:rsidR="00A5200F" w:rsidRDefault="00A5200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40280"/>
    <w:rsid w:val="00062442"/>
    <w:rsid w:val="0011015F"/>
    <w:rsid w:val="001146AC"/>
    <w:rsid w:val="00133ED3"/>
    <w:rsid w:val="00151A3C"/>
    <w:rsid w:val="00152E19"/>
    <w:rsid w:val="00183A5B"/>
    <w:rsid w:val="001A5DDC"/>
    <w:rsid w:val="001C6518"/>
    <w:rsid w:val="001C6E51"/>
    <w:rsid w:val="001F7927"/>
    <w:rsid w:val="0022366D"/>
    <w:rsid w:val="002457A1"/>
    <w:rsid w:val="00255770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5A1E"/>
    <w:rsid w:val="003551CE"/>
    <w:rsid w:val="0036085B"/>
    <w:rsid w:val="00371125"/>
    <w:rsid w:val="0037225F"/>
    <w:rsid w:val="0037642B"/>
    <w:rsid w:val="00386537"/>
    <w:rsid w:val="003959C8"/>
    <w:rsid w:val="004046B0"/>
    <w:rsid w:val="00415F12"/>
    <w:rsid w:val="004519CB"/>
    <w:rsid w:val="004B5560"/>
    <w:rsid w:val="00502924"/>
    <w:rsid w:val="00507D19"/>
    <w:rsid w:val="005929CC"/>
    <w:rsid w:val="005C4EEB"/>
    <w:rsid w:val="005F4542"/>
    <w:rsid w:val="00605851"/>
    <w:rsid w:val="006218DF"/>
    <w:rsid w:val="00675EF5"/>
    <w:rsid w:val="00692896"/>
    <w:rsid w:val="00692DB5"/>
    <w:rsid w:val="006D5148"/>
    <w:rsid w:val="006E1C78"/>
    <w:rsid w:val="006E32FB"/>
    <w:rsid w:val="00733A93"/>
    <w:rsid w:val="007457F7"/>
    <w:rsid w:val="00750F41"/>
    <w:rsid w:val="007A7938"/>
    <w:rsid w:val="0080698C"/>
    <w:rsid w:val="008220D6"/>
    <w:rsid w:val="00841AFD"/>
    <w:rsid w:val="00860F57"/>
    <w:rsid w:val="00870270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34D2B"/>
    <w:rsid w:val="00950217"/>
    <w:rsid w:val="00956ABF"/>
    <w:rsid w:val="00974A35"/>
    <w:rsid w:val="009903A6"/>
    <w:rsid w:val="009A4BF3"/>
    <w:rsid w:val="009E3244"/>
    <w:rsid w:val="00A07044"/>
    <w:rsid w:val="00A34B00"/>
    <w:rsid w:val="00A5200F"/>
    <w:rsid w:val="00AC6BD7"/>
    <w:rsid w:val="00B90C8D"/>
    <w:rsid w:val="00BB35A3"/>
    <w:rsid w:val="00BC3FAA"/>
    <w:rsid w:val="00BE4C5C"/>
    <w:rsid w:val="00BE6DE5"/>
    <w:rsid w:val="00BF2E35"/>
    <w:rsid w:val="00C074DA"/>
    <w:rsid w:val="00C07E0B"/>
    <w:rsid w:val="00C511F4"/>
    <w:rsid w:val="00CA1ED9"/>
    <w:rsid w:val="00CE20BF"/>
    <w:rsid w:val="00CE67C0"/>
    <w:rsid w:val="00CF72F1"/>
    <w:rsid w:val="00D32EBE"/>
    <w:rsid w:val="00D44B9E"/>
    <w:rsid w:val="00DB4BFF"/>
    <w:rsid w:val="00DC2D2A"/>
    <w:rsid w:val="00E00C3C"/>
    <w:rsid w:val="00E301A8"/>
    <w:rsid w:val="00E336ED"/>
    <w:rsid w:val="00E4566E"/>
    <w:rsid w:val="00E46A98"/>
    <w:rsid w:val="00EB2464"/>
    <w:rsid w:val="00EC4E00"/>
    <w:rsid w:val="00ED2FA1"/>
    <w:rsid w:val="00F4256A"/>
    <w:rsid w:val="00F6441D"/>
    <w:rsid w:val="00F8675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Cindy Gisela Barrios de Navas</cp:lastModifiedBy>
  <cp:revision>78</cp:revision>
  <cp:lastPrinted>2024-05-10T00:55:00Z</cp:lastPrinted>
  <dcterms:created xsi:type="dcterms:W3CDTF">2024-02-01T19:31:00Z</dcterms:created>
  <dcterms:modified xsi:type="dcterms:W3CDTF">2024-10-01T20:42:00Z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