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3DE7" w14:textId="77777777" w:rsidR="00AA6133" w:rsidRPr="009C36AA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860CD6" w:rsidRDefault="00BA3504" w:rsidP="00BA3504">
      <w:pPr>
        <w:ind w:hanging="284"/>
        <w:jc w:val="center"/>
        <w:rPr>
          <w:rFonts w:ascii="Verdana" w:hAnsi="Verdana" w:cs="Arial"/>
          <w:b/>
          <w:sz w:val="48"/>
        </w:rPr>
      </w:pPr>
      <w:r w:rsidRPr="00860CD6">
        <w:rPr>
          <w:rFonts w:ascii="Verdana" w:hAnsi="Verdana" w:cs="Arial"/>
          <w:b/>
          <w:sz w:val="48"/>
        </w:rPr>
        <w:t xml:space="preserve">Informe de Ejecución Presupuestaria </w:t>
      </w:r>
    </w:p>
    <w:p w14:paraId="4E18E324" w14:textId="623DF83D" w:rsidR="00BA3504" w:rsidRPr="00860CD6" w:rsidRDefault="00BA3504" w:rsidP="000C4FAA">
      <w:pPr>
        <w:jc w:val="center"/>
        <w:rPr>
          <w:rFonts w:ascii="Verdana" w:hAnsi="Verdana" w:cs="Arial"/>
          <w:b/>
          <w:sz w:val="48"/>
        </w:rPr>
      </w:pPr>
      <w:r w:rsidRPr="00860CD6">
        <w:rPr>
          <w:rFonts w:ascii="Verdana" w:hAnsi="Verdana" w:cs="Arial"/>
          <w:b/>
          <w:sz w:val="48"/>
        </w:rPr>
        <w:t xml:space="preserve">Viceministerio de </w:t>
      </w:r>
      <w:r w:rsidR="000C4FAA" w:rsidRPr="00860CD6">
        <w:rPr>
          <w:rFonts w:ascii="Verdana" w:hAnsi="Verdana" w:cs="Arial"/>
          <w:b/>
          <w:sz w:val="48"/>
        </w:rPr>
        <w:t>Desarrollo de la Microempresa, Pequeña y Mediana Empresa</w:t>
      </w:r>
    </w:p>
    <w:p w14:paraId="2BCEBEFC" w14:textId="7FFBC1B4" w:rsidR="00BA3504" w:rsidRPr="00860CD6" w:rsidRDefault="00860CD6" w:rsidP="00BA3504">
      <w:pPr>
        <w:jc w:val="center"/>
        <w:rPr>
          <w:rFonts w:ascii="Verdana" w:hAnsi="Verdana" w:cs="Arial"/>
          <w:b/>
          <w:sz w:val="48"/>
        </w:rPr>
      </w:pPr>
      <w:r>
        <w:rPr>
          <w:rFonts w:ascii="Verdana" w:hAnsi="Verdana" w:cs="Arial"/>
          <w:b/>
          <w:sz w:val="48"/>
          <w:lang w:val="es-MX"/>
        </w:rPr>
        <w:t>Octubre</w:t>
      </w:r>
      <w:r w:rsidR="009C36AA" w:rsidRPr="00860CD6">
        <w:rPr>
          <w:rFonts w:ascii="Verdana" w:hAnsi="Verdana" w:cs="Arial"/>
          <w:b/>
          <w:sz w:val="48"/>
          <w:lang w:val="es-MX"/>
        </w:rPr>
        <w:t xml:space="preserve"> 2024</w:t>
      </w:r>
    </w:p>
    <w:p w14:paraId="35819A65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480CEE28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4262933E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5AB78EF5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  <w:r w:rsidRPr="00860CD6">
        <w:rPr>
          <w:rFonts w:ascii="Verdana" w:hAnsi="Verdana" w:cs="Arial"/>
          <w:b/>
          <w:sz w:val="48"/>
        </w:rPr>
        <w:t>Ministerio de Economía</w:t>
      </w:r>
    </w:p>
    <w:p w14:paraId="4EF43A40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0A6B7CA6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0D02D19D" w14:textId="7E6922E2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226C396E" w14:textId="77777777" w:rsidR="000C4FAA" w:rsidRPr="00860CD6" w:rsidRDefault="000C4FAA" w:rsidP="00BA3504">
      <w:pPr>
        <w:jc w:val="center"/>
        <w:rPr>
          <w:rFonts w:ascii="Verdana" w:hAnsi="Verdana" w:cs="Arial"/>
          <w:b/>
          <w:sz w:val="48"/>
        </w:rPr>
      </w:pPr>
    </w:p>
    <w:p w14:paraId="40303BBE" w14:textId="77777777" w:rsidR="00BA3504" w:rsidRPr="00860CD6" w:rsidRDefault="00BA3504" w:rsidP="00BA3504">
      <w:pPr>
        <w:jc w:val="center"/>
        <w:rPr>
          <w:rFonts w:ascii="Verdana" w:hAnsi="Verdana" w:cs="Arial"/>
          <w:b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860CD6">
        <w:rPr>
          <w:rFonts w:ascii="Verdana" w:hAnsi="Verdana" w:cs="Arial"/>
          <w:b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6571EFE7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5F0D6B4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3FB5A19D" w:rsidR="00BA3504" w:rsidRPr="009C36AA" w:rsidRDefault="00860CD6" w:rsidP="00BA3504">
      <w:pPr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OCTUBRE</w:t>
      </w:r>
      <w:r w:rsidR="00C14BF0">
        <w:rPr>
          <w:rFonts w:ascii="Verdana" w:hAnsi="Verdana" w:cs="Arial"/>
          <w:b/>
          <w:lang w:val="es-MX"/>
        </w:rPr>
        <w:t xml:space="preserve"> 2024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C79C355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05500F"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</w:t>
      </w:r>
      <w:r w:rsidR="00260F25">
        <w:rPr>
          <w:rFonts w:ascii="Verdana" w:eastAsia="Calibri" w:hAnsi="Verdana" w:cs="Arial"/>
          <w:szCs w:val="24"/>
          <w:lang w:val="es-MX" w:eastAsia="en-US"/>
        </w:rPr>
        <w:t>M</w:t>
      </w:r>
      <w:r w:rsidR="00860CD6">
        <w:rPr>
          <w:rFonts w:ascii="Verdana" w:eastAsia="Calibri" w:hAnsi="Verdana" w:cs="Arial"/>
          <w:szCs w:val="24"/>
          <w:lang w:val="es-MX" w:eastAsia="en-US"/>
        </w:rPr>
        <w:t>IPYMES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y así poder posicionarse en el mercado y desarrollar competitividad.</w:t>
      </w:r>
    </w:p>
    <w:p w14:paraId="713FCC48" w14:textId="77777777" w:rsidR="00813F9F" w:rsidRPr="009C36AA" w:rsidRDefault="00813F9F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56CEC90" w14:textId="77777777" w:rsidR="00BA3504" w:rsidRPr="009C36AA" w:rsidRDefault="00BA3504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21D83060" w:rsidR="00BA3504" w:rsidRDefault="0005500F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le fue asignado 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108,964,635.00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de lo cual se cedió presupuesto por Q70,000,000.00</w:t>
      </w:r>
      <w:r w:rsidR="00191305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93589">
        <w:rPr>
          <w:rFonts w:ascii="Verdana" w:eastAsia="Calibri" w:hAnsi="Verdana" w:cs="Arial"/>
          <w:szCs w:val="24"/>
          <w:lang w:val="es-MX" w:eastAsia="en-US"/>
        </w:rPr>
        <w:t>que</w:t>
      </w:r>
      <w:r w:rsidR="00191305">
        <w:rPr>
          <w:rFonts w:ascii="Verdana" w:eastAsia="Calibri" w:hAnsi="Verdana" w:cs="Arial"/>
          <w:szCs w:val="24"/>
          <w:lang w:val="es-MX" w:eastAsia="en-US"/>
        </w:rPr>
        <w:t xml:space="preserve"> correspondía al Fondo de Becas, según</w:t>
      </w:r>
      <w:r w:rsidR="00093589">
        <w:rPr>
          <w:rFonts w:ascii="Verdana" w:eastAsia="Calibri" w:hAnsi="Verdana" w:cs="Arial"/>
          <w:szCs w:val="24"/>
          <w:lang w:val="es-MX" w:eastAsia="en-US"/>
        </w:rPr>
        <w:t xml:space="preserve"> lo</w:t>
      </w:r>
      <w:r w:rsidR="00191305">
        <w:rPr>
          <w:rFonts w:ascii="Verdana" w:eastAsia="Calibri" w:hAnsi="Verdana" w:cs="Arial"/>
          <w:szCs w:val="24"/>
          <w:lang w:val="es-MX" w:eastAsia="en-US"/>
        </w:rPr>
        <w:t xml:space="preserve"> dispuesto en el Decreto 54-2022 </w:t>
      </w:r>
      <w:r w:rsidR="00191305" w:rsidRPr="009C36AA">
        <w:rPr>
          <w:rFonts w:ascii="Verdana" w:eastAsia="Calibri" w:hAnsi="Verdana" w:cs="Arial"/>
          <w:szCs w:val="24"/>
          <w:lang w:val="es-MX"/>
        </w:rPr>
        <w:t>Ley del Presupuesto General de Ingresos y Egresos del Estado para el Ejercicio Fiscal Dos Mil Veintitrés</w:t>
      </w:r>
      <w:r w:rsidR="00191305">
        <w:rPr>
          <w:rFonts w:ascii="Verdana" w:eastAsia="Calibri" w:hAnsi="Verdana" w:cs="Arial"/>
          <w:szCs w:val="24"/>
          <w:lang w:val="es-MX"/>
        </w:rPr>
        <w:t>, con vigencia para el ejercicio f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iscal 2024, </w:t>
      </w:r>
      <w:r w:rsidR="00191305">
        <w:rPr>
          <w:rFonts w:ascii="Verdana" w:eastAsia="Calibri" w:hAnsi="Verdana" w:cs="Arial"/>
          <w:szCs w:val="24"/>
          <w:lang w:val="es-MX"/>
        </w:rPr>
        <w:t>a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rtículo 108, </w:t>
      </w:r>
      <w:r w:rsidR="00191305">
        <w:rPr>
          <w:rFonts w:ascii="Verdana" w:eastAsia="Calibri" w:hAnsi="Verdana" w:cs="Arial"/>
          <w:szCs w:val="24"/>
          <w:lang w:val="es-MX"/>
        </w:rPr>
        <w:t>el fondo de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 becas para aprendizaje de inglés para empleo y enfermería</w:t>
      </w:r>
      <w:r w:rsidR="00191305">
        <w:rPr>
          <w:rFonts w:ascii="Verdana" w:eastAsia="Calibri" w:hAnsi="Verdana" w:cs="Arial"/>
          <w:szCs w:val="24"/>
          <w:lang w:val="es-MX"/>
        </w:rPr>
        <w:t xml:space="preserve"> no se ejecutó en el año 2024, dicho traslado fue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aprobado mediante Acuerdo Gubernativo de Presupuesto Número 8-2024 del 13 de agosto</w:t>
      </w:r>
      <w:r w:rsidR="00093589">
        <w:rPr>
          <w:rFonts w:ascii="Verdana" w:eastAsia="Calibri" w:hAnsi="Verdana" w:cs="Arial"/>
          <w:szCs w:val="24"/>
          <w:lang w:val="es-MX" w:eastAsia="en-US"/>
        </w:rPr>
        <w:t xml:space="preserve"> del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2024, para transferencias presu</w:t>
      </w:r>
      <w:r w:rsidR="00191305">
        <w:rPr>
          <w:rFonts w:ascii="Verdana" w:eastAsia="Calibri" w:hAnsi="Verdana" w:cs="Arial"/>
          <w:szCs w:val="24"/>
          <w:lang w:val="es-MX" w:eastAsia="en-US"/>
        </w:rPr>
        <w:t>puestarias interinstitucionales;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93589">
        <w:rPr>
          <w:rFonts w:ascii="Verdana" w:eastAsia="Calibri" w:hAnsi="Verdana" w:cs="Arial"/>
          <w:szCs w:val="24"/>
          <w:lang w:val="es-MX" w:eastAsia="en-US"/>
        </w:rPr>
        <w:t>en la actualidad se tiene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 un presupuesto vigente de </w:t>
      </w:r>
      <w:r w:rsidR="003873E0" w:rsidRPr="003873E0">
        <w:rPr>
          <w:rFonts w:ascii="Verdana" w:eastAsia="Calibri" w:hAnsi="Verdana" w:cs="Arial"/>
          <w:b/>
          <w:szCs w:val="24"/>
          <w:lang w:val="es-MX" w:eastAsia="en-US"/>
        </w:rPr>
        <w:t>Q38.</w:t>
      </w:r>
      <w:r w:rsidR="00093589">
        <w:rPr>
          <w:rFonts w:ascii="Verdana" w:eastAsia="Calibri" w:hAnsi="Verdana" w:cs="Arial"/>
          <w:b/>
          <w:szCs w:val="24"/>
          <w:lang w:val="es-MX" w:eastAsia="en-US"/>
        </w:rPr>
        <w:t>56</w:t>
      </w:r>
      <w:r w:rsidR="003873E0" w:rsidRPr="003873E0">
        <w:rPr>
          <w:rFonts w:ascii="Verdana" w:eastAsia="Calibri" w:hAnsi="Verdana" w:cs="Arial"/>
          <w:b/>
          <w:szCs w:val="24"/>
          <w:lang w:val="es-MX" w:eastAsia="en-US"/>
        </w:rPr>
        <w:t>9</w:t>
      </w:r>
      <w:r w:rsidR="003873E0">
        <w:rPr>
          <w:rFonts w:ascii="Verdana" w:eastAsia="Calibri" w:hAnsi="Verdana" w:cs="Arial"/>
          <w:szCs w:val="24"/>
          <w:lang w:val="es-MX" w:eastAsia="en-US"/>
        </w:rPr>
        <w:t>,</w:t>
      </w:r>
      <w:r w:rsidR="00093589" w:rsidRPr="00093589">
        <w:rPr>
          <w:rFonts w:ascii="Verdana" w:eastAsia="Calibri" w:hAnsi="Verdana" w:cs="Arial"/>
          <w:b/>
          <w:szCs w:val="24"/>
          <w:lang w:val="es-MX" w:eastAsia="en-US"/>
        </w:rPr>
        <w:t>635.00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93589">
        <w:rPr>
          <w:rFonts w:ascii="Verdana" w:eastAsia="Calibri" w:hAnsi="Verdana" w:cs="Arial"/>
          <w:szCs w:val="24"/>
          <w:lang w:val="es-MX" w:eastAsia="en-US"/>
        </w:rPr>
        <w:t>del monto anterior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al cierre de </w:t>
      </w:r>
      <w:r w:rsidR="00093589">
        <w:rPr>
          <w:rFonts w:ascii="Verdana" w:eastAsia="Calibri" w:hAnsi="Verdana" w:cs="Arial"/>
          <w:szCs w:val="24"/>
          <w:lang w:val="es-MX" w:eastAsia="en-US"/>
        </w:rPr>
        <w:t>octubre se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80CE4">
        <w:rPr>
          <w:rFonts w:ascii="Verdana" w:eastAsia="Calibri" w:hAnsi="Verdana" w:cs="Arial"/>
          <w:b/>
          <w:szCs w:val="24"/>
          <w:lang w:val="es-MX" w:eastAsia="en-US"/>
        </w:rPr>
        <w:t>2</w:t>
      </w:r>
      <w:r w:rsidR="00093589">
        <w:rPr>
          <w:rFonts w:ascii="Verdana" w:eastAsia="Calibri" w:hAnsi="Verdana" w:cs="Arial"/>
          <w:b/>
          <w:szCs w:val="24"/>
          <w:lang w:val="es-MX" w:eastAsia="en-US"/>
        </w:rPr>
        <w:t>4,656,057.92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, lo que representa un </w:t>
      </w:r>
      <w:r w:rsidR="00093589">
        <w:rPr>
          <w:rFonts w:ascii="Verdana" w:eastAsia="Calibri" w:hAnsi="Verdana" w:cs="Arial"/>
          <w:b/>
          <w:szCs w:val="24"/>
          <w:lang w:val="es-MX" w:eastAsia="en-US"/>
        </w:rPr>
        <w:t>63</w:t>
      </w:r>
      <w:r w:rsidR="00980CE4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093589">
        <w:rPr>
          <w:rFonts w:ascii="Verdana" w:eastAsia="Calibri" w:hAnsi="Verdana" w:cs="Arial"/>
          <w:b/>
          <w:szCs w:val="24"/>
          <w:lang w:val="es-MX" w:eastAsia="en-US"/>
        </w:rPr>
        <w:t>93</w:t>
      </w:r>
      <w:r w:rsidR="00BA3504" w:rsidRPr="009C36AA">
        <w:rPr>
          <w:rFonts w:ascii="Verdana" w:eastAsia="Calibri" w:hAnsi="Verdana" w:cs="Arial"/>
          <w:b/>
          <w:bCs/>
          <w:szCs w:val="24"/>
          <w:lang w:val="es-MX" w:eastAsia="en-US"/>
        </w:rPr>
        <w:t>%</w:t>
      </w:r>
      <w:r w:rsidR="00BA3504" w:rsidRPr="009C36AA">
        <w:rPr>
          <w:rFonts w:ascii="Verdana" w:eastAsia="Calibri" w:hAnsi="Verdana" w:cs="Arial"/>
          <w:bCs/>
          <w:szCs w:val="24"/>
          <w:lang w:val="es-MX" w:eastAsia="en-US"/>
        </w:rPr>
        <w:t xml:space="preserve"> ejecutado</w:t>
      </w:r>
      <w:r w:rsidR="002815B2" w:rsidRPr="002815B2">
        <w:rPr>
          <w:rFonts w:ascii="Verdana" w:eastAsia="Calibri" w:hAnsi="Verdana" w:cs="Arial"/>
          <w:szCs w:val="24"/>
          <w:lang w:val="es-MX" w:eastAsia="en-US"/>
        </w:rPr>
        <w:t>.</w:t>
      </w:r>
    </w:p>
    <w:p w14:paraId="439D6F46" w14:textId="77777777" w:rsidR="00191305" w:rsidRDefault="00191305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4EC6D267" w14:textId="675713A9" w:rsidR="00FF6099" w:rsidRPr="00FF6099" w:rsidRDefault="00C23796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 w:rsidRPr="00C23796">
        <w:rPr>
          <w:rFonts w:eastAsia="Calibri"/>
          <w:noProof/>
          <w:lang w:eastAsia="es-GT"/>
        </w:rPr>
        <w:drawing>
          <wp:inline distT="0" distB="0" distL="0" distR="0" wp14:anchorId="6C3C38C7" wp14:editId="56FF3BCF">
            <wp:extent cx="6553200" cy="194292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58" cy="19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3A0B5" w14:textId="5AFE3FF6" w:rsidR="00BA3504" w:rsidRDefault="00191305" w:rsidP="00191305">
      <w:pPr>
        <w:pStyle w:val="Textoindependiente"/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</w:t>
      </w:r>
      <w:r w:rsidR="009A5680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C23796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 w:rsidR="00FA12C4">
        <w:rPr>
          <w:rFonts w:ascii="Verdana" w:hAnsi="Verdana" w:cs="Arial"/>
          <w:sz w:val="14"/>
          <w:lang w:val="es-MX"/>
        </w:rPr>
        <w:t>1</w:t>
      </w:r>
      <w:r w:rsidR="00C23796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 w:rsidR="00FA12C4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73479E4" w14:textId="1D38012D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1</w:t>
      </w:r>
    </w:p>
    <w:p w14:paraId="0891D98B" w14:textId="3DD9230A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  <w:bookmarkStart w:id="0" w:name="_GoBack"/>
      <w:bookmarkEnd w:id="0"/>
    </w:p>
    <w:p w14:paraId="7334F026" w14:textId="0A766BFE" w:rsidR="00BA3504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7C199615" w14:textId="77777777" w:rsidR="00C23796" w:rsidRDefault="00C23796" w:rsidP="00BA3504">
      <w:pPr>
        <w:jc w:val="center"/>
        <w:rPr>
          <w:rFonts w:ascii="Verdana" w:hAnsi="Verdana" w:cs="Arial"/>
          <w:b/>
          <w:lang w:val="es-MX"/>
        </w:rPr>
      </w:pPr>
    </w:p>
    <w:p w14:paraId="180C4D3C" w14:textId="3DC247AB" w:rsidR="00C23796" w:rsidRPr="009C36AA" w:rsidRDefault="00C23796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2157D469" wp14:editId="0A8B8DBC">
            <wp:extent cx="6589395" cy="6515100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35" cy="6574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BCB66" w14:textId="1D4EA6B0" w:rsidR="00BA3504" w:rsidRDefault="00A20A30" w:rsidP="00BA3504">
      <w:pPr>
        <w:jc w:val="center"/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C23796">
        <w:rPr>
          <w:rFonts w:ascii="Verdana" w:hAnsi="Verdana" w:cs="Arial"/>
          <w:sz w:val="14"/>
          <w:lang w:val="es-MX"/>
        </w:rPr>
        <w:t>S</w:t>
      </w:r>
      <w:r w:rsidR="009A5680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C23796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C23796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6806DDB2" w14:textId="3D606066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2</w:t>
      </w:r>
    </w:p>
    <w:p w14:paraId="638A5B58" w14:textId="62D1902D" w:rsidR="00D34804" w:rsidRPr="009C36AA" w:rsidRDefault="00D34804" w:rsidP="00D348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481670C" w14:textId="0D0A9422" w:rsidR="00D348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</w:t>
      </w:r>
      <w:r w:rsidR="00D34804" w:rsidRPr="009C36AA">
        <w:rPr>
          <w:rFonts w:ascii="Verdana" w:hAnsi="Verdana" w:cs="Arial"/>
          <w:b/>
          <w:lang w:val="es-MX"/>
        </w:rPr>
        <w:t>cución Presupuestaria</w:t>
      </w:r>
    </w:p>
    <w:p w14:paraId="71D801B7" w14:textId="4ECAAA18" w:rsidR="00BA3504" w:rsidRPr="009C36AA" w:rsidRDefault="00C23796" w:rsidP="00BA3504">
      <w:pPr>
        <w:jc w:val="center"/>
        <w:rPr>
          <w:rFonts w:ascii="Verdana" w:hAnsi="Verdana"/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4FEC36CE" wp14:editId="732466DC">
            <wp:extent cx="5612130" cy="3790950"/>
            <wp:effectExtent l="0" t="0" r="762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8EF664" w14:textId="7C3FC0DF" w:rsidR="00BA3504" w:rsidRDefault="00A20A30" w:rsidP="0077737B">
      <w:pPr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8D2CC2">
        <w:rPr>
          <w:rFonts w:ascii="Verdana" w:hAnsi="Verdana" w:cs="Arial"/>
          <w:sz w:val="14"/>
          <w:lang w:val="es-MX"/>
        </w:rPr>
        <w:t>S</w:t>
      </w:r>
      <w:r w:rsidR="009A5680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8D2CC2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8D2CC2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5E65ACB" w14:textId="77777777" w:rsidR="0077737B" w:rsidRPr="0077737B" w:rsidRDefault="0077737B" w:rsidP="00BA3504">
      <w:pPr>
        <w:rPr>
          <w:rFonts w:ascii="Verdana" w:hAnsi="Verdana" w:cs="Arial"/>
          <w:lang w:val="es-MX"/>
        </w:rPr>
      </w:pPr>
    </w:p>
    <w:p w14:paraId="2B3974EA" w14:textId="1CF16022" w:rsidR="00231A5F" w:rsidRDefault="00231A5F" w:rsidP="00231A5F">
      <w:pPr>
        <w:jc w:val="center"/>
        <w:rPr>
          <w:rFonts w:ascii="Verdana" w:hAnsi="Verdana" w:cs="Arial"/>
          <w:b/>
          <w:lang w:val="es-MX"/>
        </w:rPr>
      </w:pPr>
    </w:p>
    <w:p w14:paraId="7301C0BB" w14:textId="254BB19C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63E961E5" w14:textId="0B5D7F30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1CE5049E" w14:textId="18EEF35F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21FB526A" w14:textId="41956A40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1C19E681" w14:textId="28ACA0C1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019FE74E" w14:textId="6E7950FB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3F24AF7C" w14:textId="7D6D08A0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5AF0E77F" w14:textId="66EDD943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4DB4CF48" w14:textId="2C80E53C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67E6EDBC" w14:textId="213B3551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77792D1A" w14:textId="7EC445FD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4ABDEB61" w14:textId="668C9F6E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3BCD3845" w14:textId="4AF48BD4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22A518E9" w14:textId="32B974C4" w:rsidR="008D2CC2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088E3B80" w14:textId="77777777" w:rsidR="008D2CC2" w:rsidRPr="009C36AA" w:rsidRDefault="008D2CC2" w:rsidP="008D2CC2">
      <w:pPr>
        <w:jc w:val="both"/>
        <w:rPr>
          <w:rFonts w:ascii="Verdana" w:hAnsi="Verdana" w:cs="Arial"/>
          <w:lang w:val="es-MX"/>
        </w:rPr>
      </w:pPr>
      <w:r w:rsidRPr="009C36AA">
        <w:rPr>
          <w:rFonts w:ascii="Verdana" w:hAnsi="Verdana" w:cs="Arial"/>
          <w:lang w:val="es-MX"/>
        </w:rPr>
        <w:lastRenderedPageBreak/>
        <w:t>En el cuadro No. 1, se detalla el comportamiento del uso de las cuotas por las distintas fuentes de financiamiento:</w:t>
      </w:r>
    </w:p>
    <w:p w14:paraId="0FC1600B" w14:textId="77777777" w:rsidR="008D2CC2" w:rsidRPr="009C36AA" w:rsidRDefault="008D2CC2" w:rsidP="00231A5F">
      <w:pPr>
        <w:jc w:val="center"/>
        <w:rPr>
          <w:rFonts w:ascii="Verdana" w:hAnsi="Verdana" w:cs="Arial"/>
          <w:b/>
          <w:lang w:val="es-MX"/>
        </w:rPr>
      </w:pPr>
    </w:p>
    <w:p w14:paraId="59D74ED3" w14:textId="7C42CCD5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Cuadro No. 1</w:t>
      </w:r>
    </w:p>
    <w:p w14:paraId="56F3232E" w14:textId="4AF0392B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444F2E3B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16F61ED7" w14:textId="77777777" w:rsidR="00BA3504" w:rsidRPr="00E00C58" w:rsidRDefault="00BA3504" w:rsidP="00BA3504">
      <w:pPr>
        <w:rPr>
          <w:rFonts w:ascii="Verdana" w:hAnsi="Verdana" w:cs="Arial"/>
          <w:b/>
          <w:sz w:val="16"/>
          <w:lang w:val="es-MX"/>
        </w:rPr>
      </w:pPr>
    </w:p>
    <w:p w14:paraId="7B09CFDB" w14:textId="4526B8C4" w:rsidR="00BA3504" w:rsidRPr="009C36AA" w:rsidRDefault="008D2CC2" w:rsidP="00BA3504">
      <w:pPr>
        <w:rPr>
          <w:rFonts w:ascii="Verdana" w:hAnsi="Verdana" w:cs="Arial"/>
          <w:b/>
          <w:lang w:val="es-MX"/>
        </w:rPr>
      </w:pPr>
      <w:r w:rsidRPr="008D2CC2">
        <w:rPr>
          <w:noProof/>
          <w:lang w:eastAsia="es-GT"/>
        </w:rPr>
        <w:drawing>
          <wp:inline distT="0" distB="0" distL="0" distR="0" wp14:anchorId="66526851" wp14:editId="3629855C">
            <wp:extent cx="6524625" cy="267169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84" cy="268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012A" w14:textId="77777777" w:rsidR="00440FA9" w:rsidRPr="00440FA9" w:rsidRDefault="00440FA9" w:rsidP="00BA3504">
      <w:pPr>
        <w:jc w:val="center"/>
        <w:rPr>
          <w:rFonts w:ascii="Verdana" w:hAnsi="Verdana" w:cs="Arial"/>
          <w:b/>
          <w:sz w:val="4"/>
          <w:lang w:val="es-MX"/>
        </w:rPr>
      </w:pPr>
    </w:p>
    <w:p w14:paraId="29107CF4" w14:textId="6EE04F3D" w:rsidR="00D55AB3" w:rsidRDefault="00A20A30" w:rsidP="00D55AB3">
      <w:pPr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8D2CC2">
        <w:rPr>
          <w:rFonts w:ascii="Verdana" w:hAnsi="Verdana" w:cs="Arial"/>
          <w:sz w:val="14"/>
          <w:lang w:val="es-MX"/>
        </w:rPr>
        <w:t>S</w:t>
      </w:r>
      <w:r w:rsidR="009A5680">
        <w:rPr>
          <w:rFonts w:ascii="Verdana" w:hAnsi="Verdana" w:cs="Arial"/>
          <w:sz w:val="14"/>
          <w:lang w:val="es-MX"/>
        </w:rPr>
        <w:t>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8D2CC2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8D2CC2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84724ED" w14:textId="71EDE01A" w:rsidR="008D2CC2" w:rsidRDefault="008D2CC2" w:rsidP="00C34294">
      <w:pPr>
        <w:jc w:val="both"/>
        <w:rPr>
          <w:rFonts w:ascii="Verdana" w:hAnsi="Verdana" w:cs="Arial"/>
          <w:lang w:val="es-MX"/>
        </w:rPr>
      </w:pPr>
    </w:p>
    <w:p w14:paraId="519E6CBF" w14:textId="0AF3711D" w:rsidR="00BA3504" w:rsidRDefault="00C34294" w:rsidP="00C34294">
      <w:pPr>
        <w:jc w:val="both"/>
        <w:rPr>
          <w:rFonts w:ascii="Verdana" w:hAnsi="Verdana" w:cs="Arial"/>
          <w:lang w:val="es-MX"/>
        </w:rPr>
      </w:pPr>
      <w:r w:rsidRPr="00FF68B6">
        <w:rPr>
          <w:rFonts w:ascii="Verdana" w:hAnsi="Verdana" w:cs="Arial"/>
          <w:lang w:val="es-MX"/>
        </w:rPr>
        <w:t>En el cu</w:t>
      </w:r>
      <w:r w:rsidRPr="009C36AA">
        <w:rPr>
          <w:rFonts w:ascii="Verdana" w:hAnsi="Verdana" w:cs="Arial"/>
          <w:lang w:val="es-MX"/>
        </w:rPr>
        <w:t xml:space="preserve">adro No. 2 se presenta la ejecución presupuestaria de los gastos del </w:t>
      </w:r>
      <w:r w:rsidR="00BA3504" w:rsidRPr="009C36AA">
        <w:rPr>
          <w:rFonts w:ascii="Verdana" w:hAnsi="Verdana" w:cs="Arial"/>
          <w:lang w:val="es-MX"/>
        </w:rPr>
        <w:t xml:space="preserve">Viceministerio </w:t>
      </w:r>
      <w:r w:rsidRPr="009C36AA">
        <w:rPr>
          <w:rFonts w:ascii="Verdana" w:hAnsi="Verdana" w:cs="Arial"/>
          <w:lang w:val="es-MX"/>
        </w:rPr>
        <w:t>de Desarrollo de las Microempresas, Pequeñas y Mediana Empresa, los que en su mayoría se concentran en pago de nómina,</w:t>
      </w:r>
      <w:r w:rsidR="00C11D31" w:rsidRPr="009C36AA">
        <w:rPr>
          <w:rFonts w:ascii="Verdana" w:hAnsi="Verdana" w:cs="Arial"/>
          <w:lang w:val="es-MX"/>
        </w:rPr>
        <w:t xml:space="preserve"> servicios, materiales y suministros</w:t>
      </w:r>
      <w:r w:rsidR="00BA3504" w:rsidRPr="009C36AA">
        <w:rPr>
          <w:rFonts w:ascii="Verdana" w:hAnsi="Verdana" w:cs="Arial"/>
          <w:lang w:val="es-MX"/>
        </w:rPr>
        <w:t>:</w:t>
      </w:r>
    </w:p>
    <w:p w14:paraId="6B9624D9" w14:textId="2DC3EF12" w:rsidR="00FF68B6" w:rsidRDefault="00FF68B6" w:rsidP="00C34294">
      <w:pPr>
        <w:jc w:val="both"/>
        <w:rPr>
          <w:rFonts w:ascii="Verdana" w:hAnsi="Verdana"/>
        </w:rPr>
      </w:pPr>
    </w:p>
    <w:p w14:paraId="50B75BC8" w14:textId="2548E41F" w:rsidR="008D2CC2" w:rsidRDefault="008D2CC2" w:rsidP="00C34294">
      <w:pPr>
        <w:jc w:val="both"/>
        <w:rPr>
          <w:rFonts w:ascii="Verdana" w:hAnsi="Verdana"/>
        </w:rPr>
      </w:pPr>
    </w:p>
    <w:p w14:paraId="78643247" w14:textId="36E9D6C3" w:rsidR="008D2CC2" w:rsidRDefault="008D2CC2" w:rsidP="00C34294">
      <w:pPr>
        <w:jc w:val="both"/>
        <w:rPr>
          <w:rFonts w:ascii="Verdana" w:hAnsi="Verdana"/>
        </w:rPr>
      </w:pPr>
    </w:p>
    <w:p w14:paraId="43E0D22D" w14:textId="22EBF24C" w:rsidR="008D2CC2" w:rsidRDefault="008D2CC2" w:rsidP="00C34294">
      <w:pPr>
        <w:jc w:val="both"/>
        <w:rPr>
          <w:rFonts w:ascii="Verdana" w:hAnsi="Verdana"/>
        </w:rPr>
      </w:pPr>
    </w:p>
    <w:p w14:paraId="50BB214E" w14:textId="35F9830E" w:rsidR="008D2CC2" w:rsidRDefault="008D2CC2" w:rsidP="00C34294">
      <w:pPr>
        <w:jc w:val="both"/>
        <w:rPr>
          <w:rFonts w:ascii="Verdana" w:hAnsi="Verdana"/>
        </w:rPr>
      </w:pPr>
    </w:p>
    <w:p w14:paraId="40258222" w14:textId="79FE2837" w:rsidR="008D2CC2" w:rsidRDefault="008D2CC2" w:rsidP="00C34294">
      <w:pPr>
        <w:jc w:val="both"/>
        <w:rPr>
          <w:rFonts w:ascii="Verdana" w:hAnsi="Verdana"/>
        </w:rPr>
      </w:pPr>
    </w:p>
    <w:p w14:paraId="2659CC54" w14:textId="5E008037" w:rsidR="008D2CC2" w:rsidRDefault="008D2CC2" w:rsidP="00C34294">
      <w:pPr>
        <w:jc w:val="both"/>
        <w:rPr>
          <w:rFonts w:ascii="Verdana" w:hAnsi="Verdana"/>
        </w:rPr>
      </w:pPr>
    </w:p>
    <w:p w14:paraId="5443A5AE" w14:textId="4237ED09" w:rsidR="008D2CC2" w:rsidRDefault="008D2CC2" w:rsidP="00C34294">
      <w:pPr>
        <w:jc w:val="both"/>
        <w:rPr>
          <w:rFonts w:ascii="Verdana" w:hAnsi="Verdana"/>
        </w:rPr>
      </w:pPr>
    </w:p>
    <w:p w14:paraId="768D5087" w14:textId="26573837" w:rsidR="008D2CC2" w:rsidRDefault="008D2CC2" w:rsidP="00C34294">
      <w:pPr>
        <w:jc w:val="both"/>
        <w:rPr>
          <w:rFonts w:ascii="Verdana" w:hAnsi="Verdana"/>
        </w:rPr>
      </w:pPr>
    </w:p>
    <w:p w14:paraId="7B14627B" w14:textId="5812F3FB" w:rsidR="008D2CC2" w:rsidRDefault="008D2CC2" w:rsidP="00C34294">
      <w:pPr>
        <w:jc w:val="both"/>
        <w:rPr>
          <w:rFonts w:ascii="Verdana" w:hAnsi="Verdana"/>
        </w:rPr>
      </w:pPr>
    </w:p>
    <w:p w14:paraId="6A26C237" w14:textId="6BF5B69B" w:rsidR="008D2CC2" w:rsidRDefault="008D2CC2" w:rsidP="00C34294">
      <w:pPr>
        <w:jc w:val="both"/>
        <w:rPr>
          <w:rFonts w:ascii="Verdana" w:hAnsi="Verdana"/>
        </w:rPr>
      </w:pPr>
    </w:p>
    <w:p w14:paraId="4C6B5776" w14:textId="4D072D26" w:rsidR="008D2CC2" w:rsidRDefault="008D2CC2" w:rsidP="00C34294">
      <w:pPr>
        <w:jc w:val="both"/>
        <w:rPr>
          <w:rFonts w:ascii="Verdana" w:hAnsi="Verdana"/>
        </w:rPr>
      </w:pPr>
    </w:p>
    <w:p w14:paraId="275BD822" w14:textId="77777777" w:rsidR="008D2CC2" w:rsidRPr="009C36AA" w:rsidRDefault="008D2CC2" w:rsidP="00C34294">
      <w:pPr>
        <w:jc w:val="both"/>
        <w:rPr>
          <w:rFonts w:ascii="Verdana" w:hAnsi="Verdana"/>
        </w:rPr>
      </w:pPr>
    </w:p>
    <w:p w14:paraId="45BEB54D" w14:textId="5043AFF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 xml:space="preserve">Cuadro No. </w:t>
      </w:r>
      <w:r w:rsidR="00CF176E" w:rsidRPr="009C36AA">
        <w:rPr>
          <w:rFonts w:ascii="Verdana" w:hAnsi="Verdana" w:cs="Arial"/>
          <w:b/>
          <w:lang w:val="es-MX"/>
        </w:rPr>
        <w:t>2</w:t>
      </w:r>
    </w:p>
    <w:p w14:paraId="3B7813C3" w14:textId="7827D443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7A1098BB" w:rsidR="00C34294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Presupuesto por Dependencias y grupo de gasto</w:t>
      </w:r>
    </w:p>
    <w:p w14:paraId="69C04088" w14:textId="2E15FD13" w:rsidR="00FF68B6" w:rsidRPr="009C36AA" w:rsidRDefault="008D2CC2" w:rsidP="00C34294">
      <w:pPr>
        <w:jc w:val="center"/>
        <w:rPr>
          <w:rFonts w:ascii="Verdana" w:hAnsi="Verdana" w:cs="Arial"/>
          <w:b/>
          <w:lang w:val="es-MX"/>
        </w:rPr>
      </w:pPr>
      <w:r w:rsidRPr="008D2CC2">
        <w:rPr>
          <w:noProof/>
          <w:lang w:eastAsia="es-GT"/>
        </w:rPr>
        <w:drawing>
          <wp:inline distT="0" distB="0" distL="0" distR="0" wp14:anchorId="4A1A9E01" wp14:editId="50E2C49E">
            <wp:extent cx="6496050" cy="6657248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48" cy="667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C413" w14:textId="54BAA441" w:rsidR="00EB2464" w:rsidRPr="009C36AA" w:rsidRDefault="00A20A30" w:rsidP="00C44168">
      <w:pPr>
        <w:jc w:val="center"/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9A5680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9A5680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sectPr w:rsidR="00EB2464" w:rsidRPr="009C36AA" w:rsidSect="00606AAD">
      <w:headerReference w:type="default" r:id="rId11"/>
      <w:footerReference w:type="default" r:id="rId12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B867" w14:textId="77777777" w:rsidR="00B6798F" w:rsidRDefault="00B6798F" w:rsidP="00950217">
      <w:r>
        <w:separator/>
      </w:r>
    </w:p>
  </w:endnote>
  <w:endnote w:type="continuationSeparator" w:id="0">
    <w:p w14:paraId="39D079B0" w14:textId="77777777" w:rsidR="00B6798F" w:rsidRDefault="00B6798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D2CC2" w:rsidRDefault="008D2CC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8183" w14:textId="77777777" w:rsidR="00B6798F" w:rsidRDefault="00B6798F" w:rsidP="00950217">
      <w:r>
        <w:separator/>
      </w:r>
    </w:p>
  </w:footnote>
  <w:footnote w:type="continuationSeparator" w:id="0">
    <w:p w14:paraId="73CB6299" w14:textId="77777777" w:rsidR="00B6798F" w:rsidRDefault="00B6798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8D2CC2" w:rsidRDefault="008D2CC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78AF"/>
    <w:rsid w:val="000203AA"/>
    <w:rsid w:val="000238EB"/>
    <w:rsid w:val="00033B70"/>
    <w:rsid w:val="0005500F"/>
    <w:rsid w:val="00060260"/>
    <w:rsid w:val="00062442"/>
    <w:rsid w:val="000765F4"/>
    <w:rsid w:val="00093589"/>
    <w:rsid w:val="000C4FAA"/>
    <w:rsid w:val="000D3A35"/>
    <w:rsid w:val="000F2DCB"/>
    <w:rsid w:val="00112DD9"/>
    <w:rsid w:val="00183A5B"/>
    <w:rsid w:val="00191305"/>
    <w:rsid w:val="001920D7"/>
    <w:rsid w:val="0019537C"/>
    <w:rsid w:val="001A1695"/>
    <w:rsid w:val="001B150C"/>
    <w:rsid w:val="001B4D00"/>
    <w:rsid w:val="00224D0E"/>
    <w:rsid w:val="00231A5F"/>
    <w:rsid w:val="002421EE"/>
    <w:rsid w:val="00260F25"/>
    <w:rsid w:val="00261D9F"/>
    <w:rsid w:val="002815B2"/>
    <w:rsid w:val="002A26C4"/>
    <w:rsid w:val="002C2478"/>
    <w:rsid w:val="002D29FE"/>
    <w:rsid w:val="003157BB"/>
    <w:rsid w:val="003434A8"/>
    <w:rsid w:val="0037225F"/>
    <w:rsid w:val="003873E0"/>
    <w:rsid w:val="00390225"/>
    <w:rsid w:val="003A0816"/>
    <w:rsid w:val="004034FE"/>
    <w:rsid w:val="004336D5"/>
    <w:rsid w:val="00440FA9"/>
    <w:rsid w:val="00451BAB"/>
    <w:rsid w:val="00455186"/>
    <w:rsid w:val="00456C49"/>
    <w:rsid w:val="0047348E"/>
    <w:rsid w:val="0049741C"/>
    <w:rsid w:val="004B72A3"/>
    <w:rsid w:val="004D48D4"/>
    <w:rsid w:val="004D59B0"/>
    <w:rsid w:val="004E46CE"/>
    <w:rsid w:val="00507D19"/>
    <w:rsid w:val="00516A31"/>
    <w:rsid w:val="00547814"/>
    <w:rsid w:val="00590FD2"/>
    <w:rsid w:val="005C3CD2"/>
    <w:rsid w:val="005C4EEB"/>
    <w:rsid w:val="005D193F"/>
    <w:rsid w:val="00600D23"/>
    <w:rsid w:val="00606AAD"/>
    <w:rsid w:val="0063196F"/>
    <w:rsid w:val="006448E3"/>
    <w:rsid w:val="00676356"/>
    <w:rsid w:val="006A0401"/>
    <w:rsid w:val="006A58C1"/>
    <w:rsid w:val="006C2EA0"/>
    <w:rsid w:val="006D35FA"/>
    <w:rsid w:val="006E1C78"/>
    <w:rsid w:val="006E32E1"/>
    <w:rsid w:val="006E32FB"/>
    <w:rsid w:val="006E3B81"/>
    <w:rsid w:val="00733A93"/>
    <w:rsid w:val="00733EFE"/>
    <w:rsid w:val="007550D9"/>
    <w:rsid w:val="0077737B"/>
    <w:rsid w:val="007D123F"/>
    <w:rsid w:val="00813F9F"/>
    <w:rsid w:val="00831D8C"/>
    <w:rsid w:val="0084328F"/>
    <w:rsid w:val="00860CD6"/>
    <w:rsid w:val="00866060"/>
    <w:rsid w:val="00870270"/>
    <w:rsid w:val="00891D77"/>
    <w:rsid w:val="008973EC"/>
    <w:rsid w:val="008B6BCF"/>
    <w:rsid w:val="008D2CC2"/>
    <w:rsid w:val="008E4160"/>
    <w:rsid w:val="008E47E2"/>
    <w:rsid w:val="008E5A41"/>
    <w:rsid w:val="00903D6D"/>
    <w:rsid w:val="00950217"/>
    <w:rsid w:val="0096301A"/>
    <w:rsid w:val="00975254"/>
    <w:rsid w:val="00980CE4"/>
    <w:rsid w:val="00990602"/>
    <w:rsid w:val="009A26FC"/>
    <w:rsid w:val="009A5680"/>
    <w:rsid w:val="009B4F88"/>
    <w:rsid w:val="009C36AA"/>
    <w:rsid w:val="009C7AC2"/>
    <w:rsid w:val="009D0D07"/>
    <w:rsid w:val="009D169D"/>
    <w:rsid w:val="009F019F"/>
    <w:rsid w:val="009F29B3"/>
    <w:rsid w:val="00A07044"/>
    <w:rsid w:val="00A111D2"/>
    <w:rsid w:val="00A139D7"/>
    <w:rsid w:val="00A20A30"/>
    <w:rsid w:val="00A34B00"/>
    <w:rsid w:val="00A87823"/>
    <w:rsid w:val="00A9274B"/>
    <w:rsid w:val="00AA2079"/>
    <w:rsid w:val="00AA6133"/>
    <w:rsid w:val="00AB38F5"/>
    <w:rsid w:val="00AB54A0"/>
    <w:rsid w:val="00AE099E"/>
    <w:rsid w:val="00AE0B8F"/>
    <w:rsid w:val="00B6798F"/>
    <w:rsid w:val="00B70368"/>
    <w:rsid w:val="00B75F97"/>
    <w:rsid w:val="00BA3504"/>
    <w:rsid w:val="00BB35A3"/>
    <w:rsid w:val="00BC0E87"/>
    <w:rsid w:val="00BE4C5C"/>
    <w:rsid w:val="00BE6DE5"/>
    <w:rsid w:val="00C07E0B"/>
    <w:rsid w:val="00C11D31"/>
    <w:rsid w:val="00C14BF0"/>
    <w:rsid w:val="00C23796"/>
    <w:rsid w:val="00C330BE"/>
    <w:rsid w:val="00C34294"/>
    <w:rsid w:val="00C44168"/>
    <w:rsid w:val="00C73774"/>
    <w:rsid w:val="00CB0E7D"/>
    <w:rsid w:val="00CC3F7E"/>
    <w:rsid w:val="00CE22F5"/>
    <w:rsid w:val="00CE5AD6"/>
    <w:rsid w:val="00CF176E"/>
    <w:rsid w:val="00CF72F1"/>
    <w:rsid w:val="00D34804"/>
    <w:rsid w:val="00D46FE2"/>
    <w:rsid w:val="00D55AB3"/>
    <w:rsid w:val="00D72505"/>
    <w:rsid w:val="00DD2831"/>
    <w:rsid w:val="00DD4D31"/>
    <w:rsid w:val="00DE4B5D"/>
    <w:rsid w:val="00E00C58"/>
    <w:rsid w:val="00E301A8"/>
    <w:rsid w:val="00E654D7"/>
    <w:rsid w:val="00EA7565"/>
    <w:rsid w:val="00EB2464"/>
    <w:rsid w:val="00EC4479"/>
    <w:rsid w:val="00ED2FA1"/>
    <w:rsid w:val="00ED69F4"/>
    <w:rsid w:val="00F47D93"/>
    <w:rsid w:val="00F7732C"/>
    <w:rsid w:val="00F92880"/>
    <w:rsid w:val="00F93EFB"/>
    <w:rsid w:val="00FA12C4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fgarciae\Desktop\Mineco\Direcci&#243;n%20Financiera\Informes%20Mensuales\Presupuesto%20por%20Dependencias%20al%2031%20de%20octu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408941454956736E-2"/>
          <c:y val="3.0660095981109969E-2"/>
          <c:w val="0.97448603142181289"/>
          <c:h val="0.9600198269605452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5E-45E1-9F01-662E02C0C0C6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5E-45E1-9F01-662E02C0C0C6}"/>
              </c:ext>
            </c:extLst>
          </c:dPt>
          <c:dLbls>
            <c:dLbl>
              <c:idx val="0"/>
              <c:layout>
                <c:manualLayout>
                  <c:x val="-1.0661087897173155E-3"/>
                  <c:y val="8.692701167426852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101EB1FB-5D73-40AA-8F9F-002C5BE2E21A}" type="CATEGORYNAME">
                      <a:rPr lang="en-US" sz="12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 </a:t>
                    </a:r>
                    <a:fld id="{A5B52E12-B061-4E3A-BFA6-6D7BDCF6629A}" type="VALUE"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64.21%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963306799332246"/>
                      <c:h val="0.158275943706652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65E-45E1-9F01-662E02C0C0C6}"/>
                </c:ext>
              </c:extLst>
            </c:dLbl>
            <c:dLbl>
              <c:idx val="1"/>
              <c:layout>
                <c:manualLayout>
                  <c:x val="8.4990032522317766E-2"/>
                  <c:y val="-0.2037067080166353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C4D27B38-3614-4EEE-A6EE-89842B257040}" type="CATEGORYNAME">
                      <a:rPr lang="en-US" sz="12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883F745A-9867-4C58-A43C-E4B1184B64BE}" type="VALUE"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2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35.79%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6945206187312114"/>
                      <c:h val="0.1580284625225866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65E-45E1-9F01-662E02C0C0C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MIPYME!$H$3:$I$3</c:f>
              <c:strCache>
                <c:ptCount val="2"/>
                <c:pt idx="0">
                  <c:v>Devengado</c:v>
                </c:pt>
                <c:pt idx="1">
                  <c:v>Saldo por devengar </c:v>
                </c:pt>
              </c:strCache>
            </c:strRef>
          </c:cat>
          <c:val>
            <c:numRef>
              <c:f>MIPYME!$H$40:$I$40</c:f>
              <c:numCache>
                <c:formatCode>"Q"#,##0.00_);\("Q"#,##0.00\)</c:formatCode>
                <c:ptCount val="2"/>
                <c:pt idx="0">
                  <c:v>25018549.289999999</c:v>
                </c:pt>
                <c:pt idx="1">
                  <c:v>13946085.710000001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5E-45E1-9F01-662E02C0C0C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José Fernando García Estrada</cp:lastModifiedBy>
  <cp:revision>4</cp:revision>
  <cp:lastPrinted>2024-07-03T17:57:00Z</cp:lastPrinted>
  <dcterms:created xsi:type="dcterms:W3CDTF">2024-11-06T22:35:00Z</dcterms:created>
  <dcterms:modified xsi:type="dcterms:W3CDTF">2024-11-06T23:00:00Z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