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ED04C6" w14:textId="2E4DB488" w:rsidR="00DD720C" w:rsidRPr="00732114" w:rsidRDefault="00DD720C" w:rsidP="009B035D">
      <w:pPr>
        <w:pStyle w:val="NormalWeb"/>
        <w:spacing w:before="0" w:beforeAutospacing="0" w:after="0" w:afterAutospacing="0"/>
        <w:rPr>
          <w:rFonts w:ascii="Verdana" w:hAnsi="Verdana" w:cs="Arial"/>
          <w:b/>
          <w:color w:val="002060"/>
          <w:sz w:val="48"/>
        </w:rPr>
      </w:pPr>
    </w:p>
    <w:p w14:paraId="482DE8F1" w14:textId="77777777" w:rsidR="00AB38F5" w:rsidRPr="00AB5A9A" w:rsidRDefault="00AB38F5" w:rsidP="00AB38F5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sz w:val="48"/>
        </w:rPr>
      </w:pPr>
      <w:r w:rsidRPr="00AB5A9A">
        <w:rPr>
          <w:rFonts w:ascii="Verdana" w:hAnsi="Verdana" w:cs="Arial"/>
          <w:b/>
          <w:sz w:val="48"/>
        </w:rPr>
        <w:t xml:space="preserve">Informe de Ejecución Presupuestaria </w:t>
      </w:r>
    </w:p>
    <w:p w14:paraId="31542D2B" w14:textId="21ABEDFA" w:rsidR="00CB2A75" w:rsidRPr="00AB5A9A" w:rsidRDefault="00CB2A75" w:rsidP="00AB38F5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sz w:val="48"/>
        </w:rPr>
      </w:pPr>
      <w:r w:rsidRPr="00AB5A9A">
        <w:rPr>
          <w:rFonts w:ascii="Verdana" w:hAnsi="Verdana" w:cs="Arial"/>
          <w:b/>
          <w:sz w:val="48"/>
        </w:rPr>
        <w:t>Viceministerio</w:t>
      </w:r>
      <w:r w:rsidR="00A11628" w:rsidRPr="00AB5A9A">
        <w:rPr>
          <w:rFonts w:ascii="Verdana" w:hAnsi="Verdana" w:cs="Arial"/>
          <w:b/>
          <w:sz w:val="48"/>
        </w:rPr>
        <w:t xml:space="preserve"> de</w:t>
      </w:r>
    </w:p>
    <w:p w14:paraId="244E46E2" w14:textId="77777777" w:rsidR="00AB38F5" w:rsidRPr="00AB5A9A" w:rsidRDefault="00AB38F5" w:rsidP="00AB38F5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sz w:val="48"/>
        </w:rPr>
      </w:pPr>
      <w:r w:rsidRPr="00AB5A9A">
        <w:rPr>
          <w:rFonts w:ascii="Verdana" w:hAnsi="Verdana" w:cs="Arial"/>
          <w:b/>
          <w:sz w:val="48"/>
        </w:rPr>
        <w:t>Inversión y Competencia</w:t>
      </w:r>
    </w:p>
    <w:p w14:paraId="6A022411" w14:textId="73D60865" w:rsidR="00AB38F5" w:rsidRPr="00AB5A9A" w:rsidRDefault="00AB38F5" w:rsidP="00AB38F5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sz w:val="48"/>
        </w:rPr>
      </w:pPr>
      <w:r w:rsidRPr="00AB5A9A">
        <w:rPr>
          <w:rFonts w:ascii="Verdana" w:hAnsi="Verdana" w:cs="Arial"/>
          <w:b/>
          <w:sz w:val="48"/>
        </w:rPr>
        <w:t xml:space="preserve"> </w:t>
      </w:r>
      <w:r w:rsidR="005F051F" w:rsidRPr="00AB5A9A">
        <w:rPr>
          <w:rFonts w:ascii="Verdana" w:hAnsi="Verdana" w:cs="Arial"/>
          <w:b/>
          <w:sz w:val="48"/>
        </w:rPr>
        <w:t>Octubre del</w:t>
      </w:r>
      <w:r w:rsidR="00732114" w:rsidRPr="00AB5A9A">
        <w:rPr>
          <w:rFonts w:ascii="Verdana" w:hAnsi="Verdana" w:cs="Arial"/>
          <w:b/>
          <w:sz w:val="48"/>
        </w:rPr>
        <w:t xml:space="preserve"> 2024</w:t>
      </w:r>
    </w:p>
    <w:p w14:paraId="6F2E8374" w14:textId="77777777" w:rsidR="00AB38F5" w:rsidRPr="00AB5A9A" w:rsidRDefault="00AB38F5" w:rsidP="00AB38F5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sz w:val="48"/>
        </w:rPr>
      </w:pPr>
    </w:p>
    <w:p w14:paraId="6675ECD4" w14:textId="689D7365" w:rsidR="00AB38F5" w:rsidRPr="00AB5A9A" w:rsidRDefault="00AB38F5" w:rsidP="00AB38F5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sz w:val="48"/>
        </w:rPr>
      </w:pPr>
    </w:p>
    <w:p w14:paraId="7B60D61C" w14:textId="4D02EA01" w:rsidR="009B035D" w:rsidRPr="00AB5A9A" w:rsidRDefault="009B035D" w:rsidP="00AB38F5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sz w:val="48"/>
        </w:rPr>
      </w:pPr>
    </w:p>
    <w:p w14:paraId="03D80FB2" w14:textId="77777777" w:rsidR="009B035D" w:rsidRPr="00AB5A9A" w:rsidRDefault="009B035D" w:rsidP="00AB38F5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sz w:val="48"/>
        </w:rPr>
      </w:pPr>
    </w:p>
    <w:p w14:paraId="7E078874" w14:textId="77777777" w:rsidR="00AB38F5" w:rsidRPr="00AB5A9A" w:rsidRDefault="00AB38F5" w:rsidP="00AB38F5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sz w:val="48"/>
        </w:rPr>
      </w:pPr>
      <w:r w:rsidRPr="00AB5A9A">
        <w:rPr>
          <w:rFonts w:ascii="Verdana" w:hAnsi="Verdana" w:cs="Arial"/>
          <w:b/>
          <w:sz w:val="48"/>
        </w:rPr>
        <w:t>Ministerio de Economía</w:t>
      </w:r>
    </w:p>
    <w:p w14:paraId="020AC8EC" w14:textId="77777777" w:rsidR="00AB38F5" w:rsidRPr="00AB5A9A" w:rsidRDefault="00AB38F5" w:rsidP="00AB38F5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sz w:val="48"/>
        </w:rPr>
      </w:pPr>
    </w:p>
    <w:p w14:paraId="72CAC618" w14:textId="77777777" w:rsidR="00AB38F5" w:rsidRPr="00AB5A9A" w:rsidRDefault="00AB38F5" w:rsidP="00AB38F5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sz w:val="48"/>
        </w:rPr>
      </w:pPr>
    </w:p>
    <w:p w14:paraId="681E880C" w14:textId="77777777" w:rsidR="00AB38F5" w:rsidRPr="00AB5A9A" w:rsidRDefault="00AB38F5" w:rsidP="00AB38F5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sz w:val="48"/>
        </w:rPr>
      </w:pPr>
    </w:p>
    <w:p w14:paraId="5F1244B2" w14:textId="77777777" w:rsidR="00AB38F5" w:rsidRPr="00AB5A9A" w:rsidRDefault="00AB38F5" w:rsidP="00AB38F5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sz w:val="48"/>
        </w:rPr>
      </w:pPr>
    </w:p>
    <w:p w14:paraId="3846865C" w14:textId="77777777" w:rsidR="00AB38F5" w:rsidRPr="00732114" w:rsidRDefault="00AB38F5" w:rsidP="00AB38F5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  <w:r w:rsidRPr="00AB5A9A">
        <w:rPr>
          <w:rFonts w:ascii="Verdana" w:hAnsi="Verdana" w:cs="Arial"/>
          <w:b/>
          <w:sz w:val="48"/>
        </w:rPr>
        <w:t>Dirección Financiera</w:t>
      </w:r>
    </w:p>
    <w:p w14:paraId="049D36BE" w14:textId="77777777" w:rsidR="00AB38F5" w:rsidRPr="00732114" w:rsidRDefault="00AB38F5" w:rsidP="00AB38F5">
      <w:pPr>
        <w:jc w:val="center"/>
        <w:rPr>
          <w:rFonts w:ascii="Verdana" w:hAnsi="Verdana" w:cs="Arial"/>
          <w:b/>
          <w:sz w:val="48"/>
        </w:rPr>
      </w:pPr>
    </w:p>
    <w:p w14:paraId="1E49B6CC" w14:textId="77777777" w:rsidR="00AB38F5" w:rsidRPr="00732114" w:rsidRDefault="00AB38F5" w:rsidP="00AB38F5">
      <w:pPr>
        <w:jc w:val="center"/>
        <w:rPr>
          <w:rFonts w:ascii="Verdana" w:hAnsi="Verdana" w:cs="Arial"/>
          <w:b/>
          <w:sz w:val="48"/>
        </w:rPr>
      </w:pPr>
    </w:p>
    <w:p w14:paraId="0CF66430" w14:textId="77777777" w:rsidR="00AB38F5" w:rsidRPr="00732114" w:rsidRDefault="00AB38F5" w:rsidP="00AB38F5">
      <w:pPr>
        <w:jc w:val="center"/>
        <w:rPr>
          <w:rFonts w:ascii="Verdana" w:hAnsi="Verdana" w:cs="Arial"/>
          <w:b/>
          <w:sz w:val="48"/>
        </w:rPr>
      </w:pPr>
    </w:p>
    <w:p w14:paraId="636E4221" w14:textId="5EDCEE87" w:rsidR="00AB38F5" w:rsidRPr="00732114" w:rsidRDefault="00AB38F5" w:rsidP="00AB38F5">
      <w:pPr>
        <w:jc w:val="center"/>
        <w:rPr>
          <w:rFonts w:ascii="Verdana" w:hAnsi="Verdana" w:cs="Arial"/>
          <w:b/>
          <w:sz w:val="48"/>
        </w:rPr>
      </w:pPr>
    </w:p>
    <w:p w14:paraId="5D8992AB" w14:textId="77777777" w:rsidR="0024654A" w:rsidRDefault="0024654A" w:rsidP="00AB38F5">
      <w:pPr>
        <w:jc w:val="center"/>
        <w:rPr>
          <w:rFonts w:ascii="Verdana" w:hAnsi="Verdana" w:cs="Arial"/>
          <w:b/>
          <w:lang w:val="es-MX"/>
        </w:rPr>
      </w:pPr>
    </w:p>
    <w:p w14:paraId="5A53B11C" w14:textId="1460B843" w:rsidR="00AB38F5" w:rsidRPr="00732114" w:rsidRDefault="00AB38F5" w:rsidP="00AB38F5">
      <w:pPr>
        <w:jc w:val="center"/>
        <w:rPr>
          <w:rFonts w:ascii="Verdana" w:hAnsi="Verdana" w:cs="Arial"/>
          <w:b/>
          <w:lang w:val="es-MX"/>
        </w:rPr>
      </w:pPr>
      <w:r w:rsidRPr="00732114">
        <w:rPr>
          <w:rFonts w:ascii="Verdana" w:hAnsi="Verdana" w:cs="Arial"/>
          <w:b/>
          <w:lang w:val="es-MX"/>
        </w:rPr>
        <w:lastRenderedPageBreak/>
        <w:t>INFORME DE EJECUCIÓN PRESUPUESTARIA</w:t>
      </w:r>
    </w:p>
    <w:p w14:paraId="57BE661F" w14:textId="788D0DF6" w:rsidR="00AB38F5" w:rsidRPr="00732114" w:rsidRDefault="00AB38F5" w:rsidP="00AB38F5">
      <w:pPr>
        <w:jc w:val="center"/>
        <w:rPr>
          <w:rFonts w:ascii="Verdana" w:hAnsi="Verdana" w:cs="Arial"/>
          <w:b/>
          <w:lang w:val="es-MX"/>
        </w:rPr>
      </w:pPr>
      <w:r w:rsidRPr="00732114">
        <w:rPr>
          <w:rFonts w:ascii="Verdana" w:hAnsi="Verdana" w:cs="Arial"/>
          <w:b/>
          <w:lang w:val="es-MX"/>
        </w:rPr>
        <w:t>DEL VICEMINISTERIO DE INVERSIÓN Y COMPETENCIA</w:t>
      </w:r>
    </w:p>
    <w:p w14:paraId="3E60A321" w14:textId="57BCB8BE" w:rsidR="00AB38F5" w:rsidRPr="00732114" w:rsidRDefault="00AB38F5" w:rsidP="00AB38F5">
      <w:pPr>
        <w:jc w:val="center"/>
        <w:rPr>
          <w:rFonts w:ascii="Verdana" w:hAnsi="Verdana" w:cs="Arial"/>
          <w:b/>
          <w:lang w:val="es-MX"/>
        </w:rPr>
      </w:pPr>
      <w:r w:rsidRPr="00732114">
        <w:rPr>
          <w:rFonts w:ascii="Verdana" w:hAnsi="Verdana" w:cs="Arial"/>
          <w:b/>
          <w:lang w:val="es-MX"/>
        </w:rPr>
        <w:t xml:space="preserve">  </w:t>
      </w:r>
      <w:r w:rsidR="005F051F">
        <w:rPr>
          <w:rFonts w:ascii="Verdana" w:hAnsi="Verdana" w:cs="Arial"/>
          <w:b/>
          <w:lang w:val="es-MX"/>
        </w:rPr>
        <w:t>OCTUBRE</w:t>
      </w:r>
      <w:r w:rsidR="00A57D2A">
        <w:rPr>
          <w:rFonts w:ascii="Verdana" w:hAnsi="Verdana" w:cs="Arial"/>
          <w:b/>
          <w:lang w:val="es-MX"/>
        </w:rPr>
        <w:t xml:space="preserve"> 2024</w:t>
      </w:r>
    </w:p>
    <w:p w14:paraId="1C5F0A19" w14:textId="77777777" w:rsidR="00AB38F5" w:rsidRPr="00732114" w:rsidRDefault="00AB38F5" w:rsidP="00AB38F5">
      <w:pPr>
        <w:rPr>
          <w:rFonts w:ascii="Verdana" w:hAnsi="Verdana" w:cs="Arial"/>
          <w:b/>
          <w:lang w:val="es-MX"/>
        </w:rPr>
      </w:pPr>
    </w:p>
    <w:p w14:paraId="05132426" w14:textId="36263F19" w:rsidR="00AB38F5" w:rsidRPr="00732114" w:rsidRDefault="00AB38F5" w:rsidP="00AB38F5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  <w:r w:rsidRPr="00732114">
        <w:rPr>
          <w:rFonts w:ascii="Verdana" w:eastAsia="Calibri" w:hAnsi="Verdana" w:cs="Arial"/>
          <w:szCs w:val="24"/>
          <w:lang w:val="es-MX" w:eastAsia="en-US"/>
        </w:rPr>
        <w:t xml:space="preserve">El Viceministerio de Inversión y Competencia es la dependencia que se encarga de velar por el comercio y la inversión coordinando sistemas de información para orientar a exportadores de las mercancías producidas en el país, </w:t>
      </w:r>
      <w:r w:rsidR="00071C4F">
        <w:rPr>
          <w:rFonts w:ascii="Verdana" w:eastAsia="Calibri" w:hAnsi="Verdana" w:cs="Arial"/>
          <w:szCs w:val="24"/>
          <w:lang w:val="es-MX" w:eastAsia="en-US"/>
        </w:rPr>
        <w:t>también realiza las gestiones para</w:t>
      </w:r>
      <w:r w:rsidRPr="00732114">
        <w:rPr>
          <w:rFonts w:ascii="Verdana" w:eastAsia="Calibri" w:hAnsi="Verdana" w:cs="Arial"/>
          <w:szCs w:val="24"/>
          <w:lang w:val="es-MX" w:eastAsia="en-US"/>
        </w:rPr>
        <w:t xml:space="preserve"> promover la competencia nacional</w:t>
      </w:r>
      <w:r w:rsidR="00071C4F">
        <w:rPr>
          <w:rFonts w:ascii="Verdana" w:eastAsia="Calibri" w:hAnsi="Verdana" w:cs="Arial"/>
          <w:szCs w:val="24"/>
          <w:lang w:val="es-MX" w:eastAsia="en-US"/>
        </w:rPr>
        <w:t>,</w:t>
      </w:r>
      <w:r w:rsidRPr="00732114">
        <w:rPr>
          <w:rFonts w:ascii="Verdana" w:eastAsia="Calibri" w:hAnsi="Verdana" w:cs="Arial"/>
          <w:szCs w:val="24"/>
          <w:lang w:val="es-MX" w:eastAsia="en-US"/>
        </w:rPr>
        <w:t xml:space="preserve"> la protección al consumidor </w:t>
      </w:r>
      <w:r w:rsidR="00071C4F">
        <w:rPr>
          <w:rFonts w:ascii="Verdana" w:eastAsia="Calibri" w:hAnsi="Verdana" w:cs="Arial"/>
          <w:szCs w:val="24"/>
          <w:lang w:val="es-MX" w:eastAsia="en-US"/>
        </w:rPr>
        <w:t>para asegurar</w:t>
      </w:r>
      <w:r w:rsidRPr="00732114">
        <w:rPr>
          <w:rFonts w:ascii="Verdana" w:eastAsia="Calibri" w:hAnsi="Verdana" w:cs="Arial"/>
          <w:szCs w:val="24"/>
          <w:lang w:val="es-MX" w:eastAsia="en-US"/>
        </w:rPr>
        <w:t xml:space="preserve"> la calidad y acreditación de los productos y servicios.</w:t>
      </w:r>
    </w:p>
    <w:p w14:paraId="4A5E68B9" w14:textId="77777777" w:rsidR="00AB38F5" w:rsidRPr="00732114" w:rsidRDefault="00AB38F5" w:rsidP="00AB38F5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</w:p>
    <w:p w14:paraId="22E44D69" w14:textId="69B8058F" w:rsidR="00AB38F5" w:rsidRPr="00732114" w:rsidRDefault="00A11628" w:rsidP="00AB38F5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  <w:r w:rsidRPr="00732114">
        <w:rPr>
          <w:rFonts w:ascii="Verdana" w:eastAsia="Calibri" w:hAnsi="Verdana" w:cs="Arial"/>
          <w:szCs w:val="24"/>
          <w:lang w:val="es-MX" w:eastAsia="en-US"/>
        </w:rPr>
        <w:t>E</w:t>
      </w:r>
      <w:r w:rsidR="00AB38F5" w:rsidRPr="00732114">
        <w:rPr>
          <w:rFonts w:ascii="Verdana" w:eastAsia="Calibri" w:hAnsi="Verdana" w:cs="Arial"/>
          <w:szCs w:val="24"/>
          <w:lang w:val="es-MX" w:eastAsia="en-US"/>
        </w:rPr>
        <w:t>ste Viceministerio es el encargado de ejecutar uno de los pro</w:t>
      </w:r>
      <w:r w:rsidR="00071C4F">
        <w:rPr>
          <w:rFonts w:ascii="Verdana" w:eastAsia="Calibri" w:hAnsi="Verdana" w:cs="Arial"/>
          <w:szCs w:val="24"/>
          <w:lang w:val="es-MX" w:eastAsia="en-US"/>
        </w:rPr>
        <w:t xml:space="preserve">gramas estratégicos de Gobierno, específicamente </w:t>
      </w:r>
      <w:r w:rsidR="00AB38F5" w:rsidRPr="00732114">
        <w:rPr>
          <w:rFonts w:ascii="Verdana" w:eastAsia="Calibri" w:hAnsi="Verdana" w:cs="Arial"/>
          <w:szCs w:val="24"/>
          <w:lang w:val="es-MX" w:eastAsia="en-US"/>
        </w:rPr>
        <w:t>el de Apoyo al Incremento de la Competitividad, con el que se busca aumentar la inscripción de títulos de propiedad intelectual y personas individuales y jurídicas que desarrollen actividades mercantiles.</w:t>
      </w:r>
    </w:p>
    <w:p w14:paraId="2B7A8492" w14:textId="77777777" w:rsidR="00AB38F5" w:rsidRPr="00732114" w:rsidRDefault="00AB38F5" w:rsidP="00AB38F5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</w:p>
    <w:p w14:paraId="163C9D33" w14:textId="1BB7BA94" w:rsidR="00AB38F5" w:rsidRPr="00732114" w:rsidRDefault="00A11628" w:rsidP="00AB38F5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  <w:r w:rsidRPr="00732114">
        <w:rPr>
          <w:rFonts w:ascii="Verdana" w:eastAsia="Calibri" w:hAnsi="Verdana" w:cs="Arial"/>
          <w:szCs w:val="24"/>
          <w:lang w:val="es-MX" w:eastAsia="en-US"/>
        </w:rPr>
        <w:t xml:space="preserve">El Viceministerio de Inversión y Competencia tiene </w:t>
      </w:r>
      <w:r w:rsidR="00AB38F5" w:rsidRPr="00732114">
        <w:rPr>
          <w:rFonts w:ascii="Verdana" w:eastAsia="Calibri" w:hAnsi="Verdana" w:cs="Arial"/>
          <w:szCs w:val="24"/>
          <w:lang w:val="es-MX" w:eastAsia="en-US"/>
        </w:rPr>
        <w:t xml:space="preserve">asignado un presupuesto de </w:t>
      </w:r>
      <w:r w:rsidR="00AB38F5" w:rsidRPr="00732114">
        <w:rPr>
          <w:rFonts w:ascii="Verdana" w:eastAsia="Calibri" w:hAnsi="Verdana" w:cs="Arial"/>
          <w:b/>
          <w:szCs w:val="24"/>
          <w:lang w:val="es-MX" w:eastAsia="en-US"/>
        </w:rPr>
        <w:t>Q71,712,369.00</w:t>
      </w:r>
      <w:r w:rsidR="006B3B0D">
        <w:rPr>
          <w:rFonts w:ascii="Verdana" w:eastAsia="Calibri" w:hAnsi="Verdana" w:cs="Arial"/>
          <w:b/>
          <w:szCs w:val="24"/>
          <w:lang w:val="es-MX" w:eastAsia="en-US"/>
        </w:rPr>
        <w:t>,</w:t>
      </w:r>
      <w:r w:rsidR="00AB38F5" w:rsidRPr="00732114">
        <w:rPr>
          <w:rFonts w:ascii="Verdana" w:eastAsia="Calibri" w:hAnsi="Verdana" w:cs="Arial"/>
          <w:b/>
          <w:szCs w:val="24"/>
          <w:lang w:val="es-MX" w:eastAsia="en-US"/>
        </w:rPr>
        <w:t xml:space="preserve"> </w:t>
      </w:r>
      <w:r w:rsidR="00071C4F">
        <w:rPr>
          <w:rFonts w:ascii="Verdana" w:eastAsia="Calibri" w:hAnsi="Verdana" w:cs="Arial"/>
          <w:szCs w:val="24"/>
          <w:lang w:val="es-MX" w:eastAsia="en-US"/>
        </w:rPr>
        <w:t>con un decremento</w:t>
      </w:r>
      <w:r w:rsidR="006B3B0D">
        <w:rPr>
          <w:rFonts w:ascii="Verdana" w:eastAsia="Calibri" w:hAnsi="Verdana" w:cs="Arial"/>
          <w:szCs w:val="24"/>
          <w:lang w:val="es-MX" w:eastAsia="en-US"/>
        </w:rPr>
        <w:t xml:space="preserve"> por la cantidad de Q50,901.00 para cubrir el pago de nómina de otras Unidades Ejecutoras,</w:t>
      </w:r>
      <w:r w:rsidR="00FD7D6E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071C4F">
        <w:rPr>
          <w:rFonts w:ascii="Verdana" w:eastAsia="Calibri" w:hAnsi="Verdana" w:cs="Arial"/>
          <w:szCs w:val="24"/>
          <w:lang w:val="es-MX" w:eastAsia="en-US"/>
        </w:rPr>
        <w:t>lo que representa</w:t>
      </w:r>
      <w:r w:rsidR="00FD7D6E">
        <w:rPr>
          <w:rFonts w:ascii="Verdana" w:eastAsia="Calibri" w:hAnsi="Verdana" w:cs="Arial"/>
          <w:szCs w:val="24"/>
          <w:lang w:val="es-MX" w:eastAsia="en-US"/>
        </w:rPr>
        <w:t xml:space="preserve"> un presupuesto vigente de </w:t>
      </w:r>
      <w:r w:rsidR="00FD7D6E" w:rsidRPr="00C84850">
        <w:rPr>
          <w:rFonts w:ascii="Verdana" w:eastAsia="Calibri" w:hAnsi="Verdana" w:cs="Arial"/>
          <w:b/>
          <w:szCs w:val="24"/>
          <w:lang w:val="es-MX" w:eastAsia="en-US"/>
        </w:rPr>
        <w:t>Q</w:t>
      </w:r>
      <w:r w:rsidR="00071C4F">
        <w:rPr>
          <w:rFonts w:ascii="Verdana" w:eastAsia="Calibri" w:hAnsi="Verdana" w:cs="Arial"/>
          <w:b/>
          <w:szCs w:val="24"/>
          <w:lang w:val="es-MX" w:eastAsia="en-US"/>
        </w:rPr>
        <w:t>71,</w:t>
      </w:r>
      <w:r w:rsidR="00FD7D6E">
        <w:rPr>
          <w:rFonts w:ascii="Verdana" w:eastAsia="Calibri" w:hAnsi="Verdana" w:cs="Arial"/>
          <w:b/>
          <w:szCs w:val="24"/>
          <w:lang w:val="es-MX" w:eastAsia="en-US"/>
        </w:rPr>
        <w:t>6</w:t>
      </w:r>
      <w:r w:rsidR="00071C4F">
        <w:rPr>
          <w:rFonts w:ascii="Verdana" w:eastAsia="Calibri" w:hAnsi="Verdana" w:cs="Arial"/>
          <w:b/>
          <w:szCs w:val="24"/>
          <w:lang w:val="es-MX" w:eastAsia="en-US"/>
        </w:rPr>
        <w:t>61,468.00</w:t>
      </w:r>
      <w:r w:rsidR="00FD7D6E">
        <w:rPr>
          <w:rFonts w:ascii="Verdana" w:eastAsia="Calibri" w:hAnsi="Verdana" w:cs="Arial"/>
          <w:szCs w:val="24"/>
          <w:lang w:val="es-MX" w:eastAsia="en-US"/>
        </w:rPr>
        <w:t xml:space="preserve">, </w:t>
      </w:r>
      <w:r w:rsidR="00AB38F5" w:rsidRPr="00732114">
        <w:rPr>
          <w:rFonts w:ascii="Verdana" w:eastAsia="Calibri" w:hAnsi="Verdana" w:cs="Arial"/>
          <w:szCs w:val="24"/>
          <w:lang w:val="es-MX" w:eastAsia="en-US"/>
        </w:rPr>
        <w:t xml:space="preserve">del </w:t>
      </w:r>
      <w:r w:rsidR="006C5DCE">
        <w:rPr>
          <w:rFonts w:ascii="Verdana" w:eastAsia="Calibri" w:hAnsi="Verdana" w:cs="Arial"/>
          <w:szCs w:val="24"/>
          <w:lang w:val="es-MX" w:eastAsia="en-US"/>
        </w:rPr>
        <w:t>monto anterior</w:t>
      </w:r>
      <w:r w:rsidR="00AB38F5" w:rsidRPr="00732114">
        <w:rPr>
          <w:rFonts w:ascii="Verdana" w:eastAsia="Calibri" w:hAnsi="Verdana" w:cs="Arial"/>
          <w:szCs w:val="24"/>
          <w:lang w:val="es-MX" w:eastAsia="en-US"/>
        </w:rPr>
        <w:t xml:space="preserve"> al cierre de </w:t>
      </w:r>
      <w:r w:rsidR="006C5DCE">
        <w:rPr>
          <w:rFonts w:ascii="Verdana" w:eastAsia="Calibri" w:hAnsi="Verdana" w:cs="Arial"/>
          <w:szCs w:val="24"/>
          <w:lang w:val="es-MX" w:eastAsia="en-US"/>
        </w:rPr>
        <w:t>octubre</w:t>
      </w:r>
      <w:r w:rsidR="00AB38F5" w:rsidRPr="00732114">
        <w:rPr>
          <w:rFonts w:ascii="Verdana" w:eastAsia="Calibri" w:hAnsi="Verdana" w:cs="Arial"/>
          <w:szCs w:val="24"/>
          <w:lang w:val="es-MX" w:eastAsia="en-US"/>
        </w:rPr>
        <w:t xml:space="preserve"> se reportó una ejecución de gastos de </w:t>
      </w:r>
      <w:r w:rsidR="00AB38F5" w:rsidRPr="00732114">
        <w:rPr>
          <w:rFonts w:ascii="Verdana" w:eastAsia="Calibri" w:hAnsi="Verdana" w:cs="Arial"/>
          <w:b/>
          <w:szCs w:val="24"/>
          <w:lang w:val="es-MX" w:eastAsia="en-US"/>
        </w:rPr>
        <w:t>Q</w:t>
      </w:r>
      <w:r w:rsidR="006C5DCE">
        <w:rPr>
          <w:rFonts w:ascii="Verdana" w:eastAsia="Calibri" w:hAnsi="Verdana" w:cs="Arial"/>
          <w:b/>
          <w:szCs w:val="24"/>
          <w:lang w:val="es-MX" w:eastAsia="en-US"/>
        </w:rPr>
        <w:t>42,959,324.12</w:t>
      </w:r>
      <w:r w:rsidR="00AB38F5" w:rsidRPr="00732114">
        <w:rPr>
          <w:rFonts w:ascii="Verdana" w:eastAsia="Calibri" w:hAnsi="Verdana" w:cs="Arial"/>
          <w:szCs w:val="24"/>
          <w:lang w:val="es-MX" w:eastAsia="en-US"/>
        </w:rPr>
        <w:t xml:space="preserve">, lo que representa el </w:t>
      </w:r>
      <w:r w:rsidR="00275CAA">
        <w:rPr>
          <w:rFonts w:ascii="Verdana" w:eastAsia="Calibri" w:hAnsi="Verdana" w:cs="Arial"/>
          <w:b/>
          <w:szCs w:val="24"/>
          <w:lang w:val="es-MX" w:eastAsia="en-US"/>
        </w:rPr>
        <w:t>5</w:t>
      </w:r>
      <w:r w:rsidR="006C5DCE">
        <w:rPr>
          <w:rFonts w:ascii="Verdana" w:eastAsia="Calibri" w:hAnsi="Verdana" w:cs="Arial"/>
          <w:b/>
          <w:szCs w:val="24"/>
          <w:lang w:val="es-MX" w:eastAsia="en-US"/>
        </w:rPr>
        <w:t>9</w:t>
      </w:r>
      <w:r w:rsidR="009F6A1D">
        <w:rPr>
          <w:rFonts w:ascii="Verdana" w:eastAsia="Calibri" w:hAnsi="Verdana" w:cs="Arial"/>
          <w:b/>
          <w:szCs w:val="24"/>
          <w:lang w:val="es-MX" w:eastAsia="en-US"/>
        </w:rPr>
        <w:t>.9</w:t>
      </w:r>
      <w:r w:rsidR="006C5DCE">
        <w:rPr>
          <w:rFonts w:ascii="Verdana" w:eastAsia="Calibri" w:hAnsi="Verdana" w:cs="Arial"/>
          <w:b/>
          <w:szCs w:val="24"/>
          <w:lang w:val="es-MX" w:eastAsia="en-US"/>
        </w:rPr>
        <w:t>5</w:t>
      </w:r>
      <w:r w:rsidR="00AB38F5" w:rsidRPr="00732114">
        <w:rPr>
          <w:rFonts w:ascii="Verdana" w:eastAsia="Calibri" w:hAnsi="Verdana" w:cs="Arial"/>
          <w:b/>
          <w:szCs w:val="24"/>
          <w:lang w:val="es-MX" w:eastAsia="en-US"/>
        </w:rPr>
        <w:t>%.</w:t>
      </w:r>
    </w:p>
    <w:p w14:paraId="2E675DEF" w14:textId="77777777" w:rsidR="00AB38F5" w:rsidRPr="00732114" w:rsidRDefault="00AB38F5" w:rsidP="00AB38F5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</w:p>
    <w:p w14:paraId="4E8B5A56" w14:textId="471F1AAE" w:rsidR="00AB38F5" w:rsidRPr="00732114" w:rsidRDefault="00AB38F5" w:rsidP="00AB38F5">
      <w:pPr>
        <w:jc w:val="center"/>
        <w:rPr>
          <w:rFonts w:ascii="Verdana" w:hAnsi="Verdana" w:cs="Arial"/>
          <w:b/>
          <w:lang w:val="es-MX"/>
        </w:rPr>
      </w:pPr>
      <w:r w:rsidRPr="00732114">
        <w:rPr>
          <w:rFonts w:ascii="Verdana" w:hAnsi="Verdana" w:cs="Arial"/>
          <w:b/>
          <w:lang w:val="es-MX"/>
        </w:rPr>
        <w:t>Gráfica No. 1</w:t>
      </w:r>
    </w:p>
    <w:p w14:paraId="0F4F60C7" w14:textId="7EC3294A" w:rsidR="00C64308" w:rsidRPr="00732114" w:rsidRDefault="00C64308" w:rsidP="00AB38F5">
      <w:pPr>
        <w:jc w:val="center"/>
        <w:rPr>
          <w:rFonts w:ascii="Verdana" w:hAnsi="Verdana" w:cs="Arial"/>
          <w:b/>
          <w:lang w:val="es-MX"/>
        </w:rPr>
      </w:pPr>
      <w:r w:rsidRPr="00732114">
        <w:rPr>
          <w:rFonts w:ascii="Verdana" w:hAnsi="Verdana" w:cs="Arial"/>
          <w:b/>
          <w:lang w:val="es-MX"/>
        </w:rPr>
        <w:t>Viceministerio de Inversión y Competencia</w:t>
      </w:r>
    </w:p>
    <w:p w14:paraId="53157E24" w14:textId="02C2E5E8" w:rsidR="00AB38F5" w:rsidRDefault="00AB38F5" w:rsidP="00AB38F5">
      <w:pPr>
        <w:jc w:val="center"/>
        <w:rPr>
          <w:rFonts w:ascii="Verdana" w:hAnsi="Verdana" w:cs="Arial"/>
          <w:b/>
          <w:lang w:val="es-MX"/>
        </w:rPr>
      </w:pPr>
      <w:r w:rsidRPr="00732114">
        <w:rPr>
          <w:rFonts w:ascii="Verdana" w:hAnsi="Verdana" w:cs="Arial"/>
          <w:b/>
          <w:lang w:val="es-MX"/>
        </w:rPr>
        <w:t>Ejecución Presupuestaria</w:t>
      </w:r>
    </w:p>
    <w:p w14:paraId="09FA94AE" w14:textId="4544CDF2" w:rsidR="005E2E7E" w:rsidRPr="00732114" w:rsidRDefault="006C5DCE" w:rsidP="00AB38F5">
      <w:pPr>
        <w:jc w:val="center"/>
        <w:rPr>
          <w:rFonts w:ascii="Verdana" w:hAnsi="Verdana" w:cs="Arial"/>
          <w:b/>
          <w:lang w:val="es-MX"/>
        </w:rPr>
      </w:pPr>
      <w:r>
        <w:rPr>
          <w:noProof/>
          <w:lang w:eastAsia="es-GT"/>
        </w:rPr>
        <w:drawing>
          <wp:inline distT="0" distB="0" distL="0" distR="0" wp14:anchorId="7B9D9CAB" wp14:editId="32457FF9">
            <wp:extent cx="6457950" cy="2390775"/>
            <wp:effectExtent l="0" t="0" r="0" b="9525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A95104E" w14:textId="5CA6B6E2" w:rsidR="00AB38F5" w:rsidRPr="00275CAA" w:rsidRDefault="00AB38F5" w:rsidP="00AB38F5">
      <w:pPr>
        <w:jc w:val="center"/>
        <w:rPr>
          <w:rFonts w:ascii="Verdana" w:hAnsi="Verdana" w:cs="Arial"/>
          <w:b/>
          <w:color w:val="000000" w:themeColor="text1"/>
          <w:sz w:val="2"/>
        </w:rPr>
      </w:pPr>
    </w:p>
    <w:p w14:paraId="0FE4936D" w14:textId="7BFC1892" w:rsidR="00AB38F5" w:rsidRPr="00AC73B4" w:rsidRDefault="00275CAA" w:rsidP="00AB38F5">
      <w:pPr>
        <w:jc w:val="center"/>
        <w:rPr>
          <w:rFonts w:ascii="Verdana" w:hAnsi="Verdana" w:cs="Arial"/>
          <w:color w:val="000000" w:themeColor="text1"/>
          <w:sz w:val="16"/>
        </w:rPr>
      </w:pPr>
      <w:r w:rsidRPr="006014DF">
        <w:rPr>
          <w:rFonts w:ascii="Verdana" w:hAnsi="Verdana" w:cs="Arial"/>
          <w:b/>
          <w:sz w:val="14"/>
          <w:lang w:val="es-MX"/>
        </w:rPr>
        <w:t>Fuente:</w:t>
      </w:r>
      <w:r w:rsidRPr="006014DF">
        <w:rPr>
          <w:rFonts w:ascii="Verdana" w:hAnsi="Verdana" w:cs="Arial"/>
          <w:sz w:val="14"/>
          <w:lang w:val="es-MX"/>
        </w:rPr>
        <w:t xml:space="preserve"> Sistema de Contabilidad Integrada (</w:t>
      </w:r>
      <w:proofErr w:type="spellStart"/>
      <w:r w:rsidR="006C5DCE">
        <w:rPr>
          <w:rFonts w:ascii="Verdana" w:hAnsi="Verdana" w:cs="Arial"/>
          <w:sz w:val="14"/>
          <w:lang w:val="es-MX"/>
        </w:rPr>
        <w:t>S</w:t>
      </w:r>
      <w:r w:rsidR="006F1ED3">
        <w:rPr>
          <w:rFonts w:ascii="Verdana" w:hAnsi="Verdana" w:cs="Arial"/>
          <w:sz w:val="14"/>
          <w:lang w:val="es-MX"/>
        </w:rPr>
        <w:t>icoin</w:t>
      </w:r>
      <w:proofErr w:type="spellEnd"/>
      <w:r w:rsidRPr="006014DF">
        <w:rPr>
          <w:rFonts w:ascii="Verdana" w:hAnsi="Verdana" w:cs="Arial"/>
          <w:sz w:val="14"/>
          <w:lang w:val="es-MX"/>
        </w:rPr>
        <w:t>) 0</w:t>
      </w:r>
      <w:r w:rsidR="006C5DCE">
        <w:rPr>
          <w:rFonts w:ascii="Verdana" w:hAnsi="Verdana" w:cs="Arial"/>
          <w:sz w:val="14"/>
          <w:lang w:val="es-MX"/>
        </w:rPr>
        <w:t>4</w:t>
      </w:r>
      <w:r w:rsidRPr="006014DF">
        <w:rPr>
          <w:rFonts w:ascii="Verdana" w:hAnsi="Verdana" w:cs="Arial"/>
          <w:sz w:val="14"/>
          <w:lang w:val="es-MX"/>
        </w:rPr>
        <w:t>/</w:t>
      </w:r>
      <w:r w:rsidR="005E2E7E">
        <w:rPr>
          <w:rFonts w:ascii="Verdana" w:hAnsi="Verdana" w:cs="Arial"/>
          <w:sz w:val="14"/>
          <w:lang w:val="es-MX"/>
        </w:rPr>
        <w:t>1</w:t>
      </w:r>
      <w:r w:rsidR="006C5DCE">
        <w:rPr>
          <w:rFonts w:ascii="Verdana" w:hAnsi="Verdana" w:cs="Arial"/>
          <w:sz w:val="14"/>
          <w:lang w:val="es-MX"/>
        </w:rPr>
        <w:t>1</w:t>
      </w:r>
      <w:r w:rsidRPr="006014DF">
        <w:rPr>
          <w:rFonts w:ascii="Verdana" w:hAnsi="Verdana" w:cs="Arial"/>
          <w:sz w:val="14"/>
          <w:lang w:val="es-MX"/>
        </w:rPr>
        <w:t xml:space="preserve">/2024 </w:t>
      </w:r>
      <w:r w:rsidR="005E2E7E">
        <w:rPr>
          <w:rFonts w:ascii="Verdana" w:hAnsi="Verdana" w:cs="Arial"/>
          <w:sz w:val="14"/>
          <w:lang w:val="es-MX"/>
        </w:rPr>
        <w:t>8</w:t>
      </w:r>
      <w:r w:rsidRPr="006014DF">
        <w:rPr>
          <w:rFonts w:ascii="Verdana" w:hAnsi="Verdana" w:cs="Arial"/>
          <w:sz w:val="14"/>
          <w:lang w:val="es-MX"/>
        </w:rPr>
        <w:t>:05</w:t>
      </w:r>
    </w:p>
    <w:p w14:paraId="2C0A3969" w14:textId="332FA145" w:rsidR="00AB38F5" w:rsidRPr="00732114" w:rsidRDefault="00AB38F5" w:rsidP="00AB38F5">
      <w:pPr>
        <w:jc w:val="center"/>
        <w:rPr>
          <w:rFonts w:ascii="Verdana" w:hAnsi="Verdana" w:cs="Arial"/>
          <w:b/>
          <w:lang w:val="es-MX"/>
        </w:rPr>
      </w:pPr>
      <w:r w:rsidRPr="00732114">
        <w:rPr>
          <w:rFonts w:ascii="Verdana" w:hAnsi="Verdana" w:cs="Arial"/>
          <w:b/>
          <w:lang w:val="es-MX"/>
        </w:rPr>
        <w:lastRenderedPageBreak/>
        <w:t>Gráfica No. 2</w:t>
      </w:r>
    </w:p>
    <w:p w14:paraId="454A9EC5" w14:textId="5AA7C8EA" w:rsidR="00C64308" w:rsidRPr="00732114" w:rsidRDefault="00C64308" w:rsidP="00AB38F5">
      <w:pPr>
        <w:jc w:val="center"/>
        <w:rPr>
          <w:rFonts w:ascii="Verdana" w:hAnsi="Verdana" w:cs="Arial"/>
          <w:b/>
          <w:lang w:val="es-MX"/>
        </w:rPr>
      </w:pPr>
      <w:r w:rsidRPr="00732114">
        <w:rPr>
          <w:rFonts w:ascii="Verdana" w:hAnsi="Verdana" w:cs="Arial"/>
          <w:b/>
          <w:lang w:val="es-MX"/>
        </w:rPr>
        <w:t>Viceministerio de Inversión y Competencia</w:t>
      </w:r>
    </w:p>
    <w:p w14:paraId="1F494BCF" w14:textId="793C4CD2" w:rsidR="00AB38F5" w:rsidRDefault="00AB38F5" w:rsidP="00AB38F5">
      <w:pPr>
        <w:jc w:val="center"/>
        <w:rPr>
          <w:rFonts w:ascii="Verdana" w:hAnsi="Verdana" w:cs="Arial"/>
          <w:b/>
          <w:lang w:val="es-MX"/>
        </w:rPr>
      </w:pPr>
      <w:r w:rsidRPr="00732114">
        <w:rPr>
          <w:rFonts w:ascii="Verdana" w:hAnsi="Verdana" w:cs="Arial"/>
          <w:b/>
          <w:lang w:val="es-MX"/>
        </w:rPr>
        <w:t>Ejecución Presupuestaria</w:t>
      </w:r>
    </w:p>
    <w:p w14:paraId="08832928" w14:textId="2B7632FB" w:rsidR="00C72F67" w:rsidRPr="00C72F67" w:rsidRDefault="006C5DCE" w:rsidP="00AB38F5">
      <w:pPr>
        <w:jc w:val="center"/>
        <w:rPr>
          <w:rFonts w:ascii="Verdana" w:hAnsi="Verdana" w:cs="Arial"/>
          <w:b/>
          <w:sz w:val="22"/>
          <w:lang w:val="es-MX"/>
        </w:rPr>
      </w:pPr>
      <w:r>
        <w:rPr>
          <w:rFonts w:ascii="Verdana" w:hAnsi="Verdana" w:cs="Arial"/>
          <w:b/>
          <w:noProof/>
          <w:sz w:val="22"/>
          <w:lang w:eastAsia="es-GT"/>
        </w:rPr>
        <w:drawing>
          <wp:inline distT="0" distB="0" distL="0" distR="0" wp14:anchorId="37D48E1C" wp14:editId="5C6575DA">
            <wp:extent cx="6476316" cy="5962650"/>
            <wp:effectExtent l="0" t="0" r="127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628" cy="59988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BE1C5F" w14:textId="6AC41F6C" w:rsidR="00AB38F5" w:rsidRPr="00732114" w:rsidRDefault="009E1F4C" w:rsidP="00C72F67">
      <w:pPr>
        <w:jc w:val="center"/>
        <w:rPr>
          <w:rFonts w:ascii="Verdana" w:hAnsi="Verdana" w:cs="Arial"/>
          <w:color w:val="000000" w:themeColor="text1"/>
        </w:rPr>
      </w:pPr>
      <w:r w:rsidRPr="006014DF">
        <w:rPr>
          <w:rFonts w:ascii="Verdana" w:hAnsi="Verdana" w:cs="Arial"/>
          <w:b/>
          <w:sz w:val="14"/>
          <w:lang w:val="es-MX"/>
        </w:rPr>
        <w:t>Fuente:</w:t>
      </w:r>
      <w:r w:rsidRPr="006014DF">
        <w:rPr>
          <w:rFonts w:ascii="Verdana" w:hAnsi="Verdana" w:cs="Arial"/>
          <w:sz w:val="14"/>
          <w:lang w:val="es-MX"/>
        </w:rPr>
        <w:t xml:space="preserve"> Sistema de Contabilidad Integrada (</w:t>
      </w:r>
      <w:proofErr w:type="spellStart"/>
      <w:r w:rsidR="006C5DCE">
        <w:rPr>
          <w:rFonts w:ascii="Verdana" w:hAnsi="Verdana" w:cs="Arial"/>
          <w:sz w:val="14"/>
          <w:lang w:val="es-MX"/>
        </w:rPr>
        <w:t>S</w:t>
      </w:r>
      <w:r w:rsidR="006F1ED3">
        <w:rPr>
          <w:rFonts w:ascii="Verdana" w:hAnsi="Verdana" w:cs="Arial"/>
          <w:sz w:val="14"/>
          <w:lang w:val="es-MX"/>
        </w:rPr>
        <w:t>icoin</w:t>
      </w:r>
      <w:proofErr w:type="spellEnd"/>
      <w:r w:rsidRPr="006014DF">
        <w:rPr>
          <w:rFonts w:ascii="Verdana" w:hAnsi="Verdana" w:cs="Arial"/>
          <w:sz w:val="14"/>
          <w:lang w:val="es-MX"/>
        </w:rPr>
        <w:t>) 0</w:t>
      </w:r>
      <w:r w:rsidR="006C5DCE">
        <w:rPr>
          <w:rFonts w:ascii="Verdana" w:hAnsi="Verdana" w:cs="Arial"/>
          <w:sz w:val="14"/>
          <w:lang w:val="es-MX"/>
        </w:rPr>
        <w:t>4</w:t>
      </w:r>
      <w:r w:rsidRPr="006014DF">
        <w:rPr>
          <w:rFonts w:ascii="Verdana" w:hAnsi="Verdana" w:cs="Arial"/>
          <w:sz w:val="14"/>
          <w:lang w:val="es-MX"/>
        </w:rPr>
        <w:t>/</w:t>
      </w:r>
      <w:r>
        <w:rPr>
          <w:rFonts w:ascii="Verdana" w:hAnsi="Verdana" w:cs="Arial"/>
          <w:sz w:val="14"/>
          <w:lang w:val="es-MX"/>
        </w:rPr>
        <w:t>1</w:t>
      </w:r>
      <w:r w:rsidR="006C5DCE">
        <w:rPr>
          <w:rFonts w:ascii="Verdana" w:hAnsi="Verdana" w:cs="Arial"/>
          <w:sz w:val="14"/>
          <w:lang w:val="es-MX"/>
        </w:rPr>
        <w:t>1</w:t>
      </w:r>
      <w:r w:rsidRPr="006014DF">
        <w:rPr>
          <w:rFonts w:ascii="Verdana" w:hAnsi="Verdana" w:cs="Arial"/>
          <w:sz w:val="14"/>
          <w:lang w:val="es-MX"/>
        </w:rPr>
        <w:t xml:space="preserve">/2024 </w:t>
      </w:r>
      <w:r>
        <w:rPr>
          <w:rFonts w:ascii="Verdana" w:hAnsi="Verdana" w:cs="Arial"/>
          <w:sz w:val="14"/>
          <w:lang w:val="es-MX"/>
        </w:rPr>
        <w:t>8</w:t>
      </w:r>
      <w:r w:rsidRPr="006014DF">
        <w:rPr>
          <w:rFonts w:ascii="Verdana" w:hAnsi="Verdana" w:cs="Arial"/>
          <w:sz w:val="14"/>
          <w:lang w:val="es-MX"/>
        </w:rPr>
        <w:t>:05</w:t>
      </w:r>
    </w:p>
    <w:p w14:paraId="45A9B421" w14:textId="7196D055" w:rsidR="005F5695" w:rsidRDefault="005F5695" w:rsidP="005F5695">
      <w:pPr>
        <w:rPr>
          <w:rFonts w:ascii="Verdana" w:hAnsi="Verdana" w:cs="Arial"/>
          <w:color w:val="000000" w:themeColor="text1"/>
        </w:rPr>
      </w:pPr>
    </w:p>
    <w:p w14:paraId="41C34716" w14:textId="1DF27ED5" w:rsidR="003C088A" w:rsidRDefault="003C088A" w:rsidP="005F5695">
      <w:pPr>
        <w:rPr>
          <w:rFonts w:ascii="Verdana" w:hAnsi="Verdana" w:cs="Arial"/>
          <w:color w:val="000000" w:themeColor="text1"/>
        </w:rPr>
      </w:pPr>
    </w:p>
    <w:p w14:paraId="7AF87243" w14:textId="28448015" w:rsidR="003C088A" w:rsidRDefault="003C088A" w:rsidP="005F5695">
      <w:pPr>
        <w:rPr>
          <w:rFonts w:ascii="Verdana" w:hAnsi="Verdana" w:cs="Arial"/>
          <w:color w:val="000000" w:themeColor="text1"/>
        </w:rPr>
      </w:pPr>
    </w:p>
    <w:p w14:paraId="66F27653" w14:textId="77777777" w:rsidR="003C088A" w:rsidRPr="00732114" w:rsidRDefault="003C088A" w:rsidP="005F5695">
      <w:pPr>
        <w:rPr>
          <w:rFonts w:ascii="Verdana" w:hAnsi="Verdana" w:cs="Arial"/>
          <w:color w:val="000000" w:themeColor="text1"/>
        </w:rPr>
      </w:pPr>
    </w:p>
    <w:p w14:paraId="7A6381A2" w14:textId="28F6C8D8" w:rsidR="00EE2B1A" w:rsidRDefault="005F5695" w:rsidP="00AB38F5">
      <w:pPr>
        <w:jc w:val="both"/>
        <w:rPr>
          <w:rFonts w:ascii="Verdana" w:hAnsi="Verdana" w:cs="Arial"/>
          <w:lang w:val="es-MX"/>
        </w:rPr>
      </w:pPr>
      <w:r w:rsidRPr="00732114">
        <w:rPr>
          <w:rFonts w:ascii="Verdana" w:hAnsi="Verdana" w:cs="Arial"/>
          <w:lang w:val="es-MX"/>
        </w:rPr>
        <w:lastRenderedPageBreak/>
        <w:t>El cuadro No. 1 se detalla</w:t>
      </w:r>
      <w:r w:rsidR="00AB38F5" w:rsidRPr="00732114">
        <w:rPr>
          <w:rFonts w:ascii="Verdana" w:hAnsi="Verdana" w:cs="Arial"/>
          <w:lang w:val="es-MX"/>
        </w:rPr>
        <w:t xml:space="preserve"> a continuación </w:t>
      </w:r>
      <w:r w:rsidRPr="00732114">
        <w:rPr>
          <w:rFonts w:ascii="Verdana" w:hAnsi="Verdana" w:cs="Arial"/>
          <w:lang w:val="es-MX"/>
        </w:rPr>
        <w:t xml:space="preserve">la ejecución presupuestaria de </w:t>
      </w:r>
      <w:r w:rsidR="00AB38F5" w:rsidRPr="00732114">
        <w:rPr>
          <w:rFonts w:ascii="Verdana" w:hAnsi="Verdana" w:cs="Arial"/>
          <w:lang w:val="es-MX"/>
        </w:rPr>
        <w:t xml:space="preserve">los gastos de las diferentes dependencias sujetas al </w:t>
      </w:r>
      <w:r w:rsidRPr="00732114">
        <w:rPr>
          <w:rFonts w:ascii="Verdana" w:hAnsi="Verdana" w:cs="Arial"/>
          <w:lang w:val="es-MX"/>
        </w:rPr>
        <w:t>V</w:t>
      </w:r>
      <w:r w:rsidR="00AB38F5" w:rsidRPr="00732114">
        <w:rPr>
          <w:rFonts w:ascii="Verdana" w:hAnsi="Verdana" w:cs="Arial"/>
          <w:lang w:val="es-MX"/>
        </w:rPr>
        <w:t xml:space="preserve">iceministerio de Inversión y </w:t>
      </w:r>
      <w:r w:rsidRPr="00732114">
        <w:rPr>
          <w:rFonts w:ascii="Verdana" w:hAnsi="Verdana" w:cs="Arial"/>
          <w:lang w:val="es-MX"/>
        </w:rPr>
        <w:t>C</w:t>
      </w:r>
      <w:r w:rsidR="00AB38F5" w:rsidRPr="00732114">
        <w:rPr>
          <w:rFonts w:ascii="Verdana" w:hAnsi="Verdana" w:cs="Arial"/>
          <w:lang w:val="es-MX"/>
        </w:rPr>
        <w:t>ompetencia</w:t>
      </w:r>
      <w:r w:rsidRPr="00732114">
        <w:rPr>
          <w:rFonts w:ascii="Verdana" w:hAnsi="Verdana" w:cs="Arial"/>
          <w:lang w:val="es-MX"/>
        </w:rPr>
        <w:t xml:space="preserve">; </w:t>
      </w:r>
      <w:r w:rsidR="00AB38F5" w:rsidRPr="00732114">
        <w:rPr>
          <w:rFonts w:ascii="Verdana" w:hAnsi="Verdana" w:cs="Arial"/>
          <w:lang w:val="es-MX"/>
        </w:rPr>
        <w:t xml:space="preserve">en su mayoría </w:t>
      </w:r>
      <w:r w:rsidR="000F6B0C" w:rsidRPr="00732114">
        <w:rPr>
          <w:rFonts w:ascii="Verdana" w:hAnsi="Verdana" w:cs="Arial"/>
          <w:lang w:val="es-MX"/>
        </w:rPr>
        <w:t xml:space="preserve">están contemplados en </w:t>
      </w:r>
      <w:r w:rsidRPr="00732114">
        <w:rPr>
          <w:rFonts w:ascii="Verdana" w:hAnsi="Verdana" w:cs="Arial"/>
          <w:lang w:val="es-MX"/>
        </w:rPr>
        <w:t xml:space="preserve">pago de </w:t>
      </w:r>
      <w:r w:rsidR="000F6B0C" w:rsidRPr="00732114">
        <w:rPr>
          <w:rFonts w:ascii="Verdana" w:hAnsi="Verdana" w:cs="Arial"/>
          <w:lang w:val="es-MX"/>
        </w:rPr>
        <w:t>nómina,</w:t>
      </w:r>
      <w:r w:rsidR="00AB38F5" w:rsidRPr="00732114">
        <w:rPr>
          <w:rFonts w:ascii="Verdana" w:hAnsi="Verdana" w:cs="Arial"/>
          <w:lang w:val="es-MX"/>
        </w:rPr>
        <w:t xml:space="preserve"> servicios</w:t>
      </w:r>
      <w:r w:rsidR="00CD15FB" w:rsidRPr="00732114">
        <w:rPr>
          <w:rFonts w:ascii="Verdana" w:hAnsi="Verdana" w:cs="Arial"/>
          <w:lang w:val="es-MX"/>
        </w:rPr>
        <w:t>, indemnizaciones</w:t>
      </w:r>
      <w:r w:rsidR="000F6B0C" w:rsidRPr="00732114">
        <w:rPr>
          <w:rFonts w:ascii="Verdana" w:hAnsi="Verdana" w:cs="Arial"/>
          <w:lang w:val="es-MX"/>
        </w:rPr>
        <w:t xml:space="preserve"> y sentencias judiciales</w:t>
      </w:r>
      <w:r w:rsidR="00AB38F5" w:rsidRPr="00732114">
        <w:rPr>
          <w:rFonts w:ascii="Verdana" w:hAnsi="Verdana" w:cs="Arial"/>
          <w:lang w:val="es-MX"/>
        </w:rPr>
        <w:t>:</w:t>
      </w:r>
    </w:p>
    <w:p w14:paraId="08E076FC" w14:textId="260FE268" w:rsidR="00AB38F5" w:rsidRPr="00732114" w:rsidRDefault="00AB38F5" w:rsidP="00AB38F5">
      <w:pPr>
        <w:ind w:left="2832" w:firstLine="708"/>
        <w:rPr>
          <w:rFonts w:ascii="Verdana" w:hAnsi="Verdana" w:cs="Arial"/>
          <w:b/>
          <w:lang w:val="es-MX"/>
        </w:rPr>
      </w:pPr>
      <w:r w:rsidRPr="00732114">
        <w:rPr>
          <w:rFonts w:ascii="Verdana" w:hAnsi="Verdana" w:cs="Arial"/>
          <w:b/>
          <w:lang w:val="es-MX"/>
        </w:rPr>
        <w:t>Cuadro No. 1</w:t>
      </w:r>
    </w:p>
    <w:p w14:paraId="264159F8" w14:textId="6C453C87" w:rsidR="00AB38F5" w:rsidRPr="00732114" w:rsidRDefault="00AB38F5" w:rsidP="00AB38F5">
      <w:pPr>
        <w:jc w:val="center"/>
        <w:rPr>
          <w:rFonts w:ascii="Verdana" w:hAnsi="Verdana" w:cs="Arial"/>
          <w:b/>
          <w:lang w:val="es-MX"/>
        </w:rPr>
      </w:pPr>
      <w:r w:rsidRPr="00732114">
        <w:rPr>
          <w:rFonts w:ascii="Verdana" w:hAnsi="Verdana" w:cs="Arial"/>
          <w:b/>
          <w:lang w:val="es-MX"/>
        </w:rPr>
        <w:t>Viceministerio de Inversión y Competencia</w:t>
      </w:r>
    </w:p>
    <w:p w14:paraId="0E17A8F4" w14:textId="334403A1" w:rsidR="00AB38F5" w:rsidRDefault="00AB38F5" w:rsidP="003C088A">
      <w:pPr>
        <w:jc w:val="center"/>
        <w:rPr>
          <w:rFonts w:ascii="Verdana" w:hAnsi="Verdana" w:cs="Arial"/>
          <w:b/>
          <w:lang w:val="es-MX"/>
        </w:rPr>
      </w:pPr>
      <w:r w:rsidRPr="00732114">
        <w:rPr>
          <w:rFonts w:ascii="Verdana" w:hAnsi="Verdana" w:cs="Arial"/>
          <w:b/>
          <w:lang w:val="es-MX"/>
        </w:rPr>
        <w:t>Presupuesto</w:t>
      </w:r>
      <w:r w:rsidR="005C61BD" w:rsidRPr="00732114">
        <w:rPr>
          <w:rFonts w:ascii="Verdana" w:hAnsi="Verdana" w:cs="Arial"/>
          <w:b/>
          <w:lang w:val="es-MX"/>
        </w:rPr>
        <w:t xml:space="preserve"> por Dependencias y</w:t>
      </w:r>
      <w:r w:rsidR="003C088A">
        <w:rPr>
          <w:rFonts w:ascii="Verdana" w:hAnsi="Verdana" w:cs="Arial"/>
          <w:b/>
          <w:lang w:val="es-MX"/>
        </w:rPr>
        <w:t xml:space="preserve"> grupo de gasto</w:t>
      </w:r>
    </w:p>
    <w:p w14:paraId="534C05F0" w14:textId="77777777" w:rsidR="00AB5A9A" w:rsidRDefault="00AB5A9A" w:rsidP="003C088A">
      <w:pPr>
        <w:jc w:val="center"/>
        <w:rPr>
          <w:rFonts w:ascii="Verdana" w:hAnsi="Verdana" w:cs="Arial"/>
          <w:b/>
          <w:lang w:val="es-MX"/>
        </w:rPr>
      </w:pPr>
    </w:p>
    <w:p w14:paraId="64E8A8DE" w14:textId="5DE15B18" w:rsidR="009C40EB" w:rsidRPr="00AB5A9A" w:rsidRDefault="003C088A" w:rsidP="00AB5A9A">
      <w:pPr>
        <w:jc w:val="center"/>
        <w:rPr>
          <w:rFonts w:ascii="Verdana" w:hAnsi="Verdana" w:cs="Arial"/>
          <w:b/>
          <w:lang w:val="es-MX"/>
        </w:rPr>
      </w:pPr>
      <w:r w:rsidRPr="003C088A">
        <w:rPr>
          <w:noProof/>
          <w:lang w:eastAsia="es-GT"/>
        </w:rPr>
        <w:drawing>
          <wp:inline distT="0" distB="0" distL="0" distR="0" wp14:anchorId="7EF452DB" wp14:editId="5532BF5B">
            <wp:extent cx="6467475" cy="6000750"/>
            <wp:effectExtent l="0" t="0" r="9525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600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0C007" w14:textId="14D05990" w:rsidR="00AB38F5" w:rsidRPr="002204FB" w:rsidRDefault="009E1F4C" w:rsidP="00AB38F5">
      <w:pPr>
        <w:jc w:val="center"/>
        <w:rPr>
          <w:rFonts w:ascii="Verdana" w:hAnsi="Verdana" w:cs="Arial"/>
          <w:color w:val="000000" w:themeColor="text1"/>
          <w:sz w:val="16"/>
        </w:rPr>
      </w:pPr>
      <w:r w:rsidRPr="006014DF">
        <w:rPr>
          <w:rFonts w:ascii="Verdana" w:hAnsi="Verdana" w:cs="Arial"/>
          <w:b/>
          <w:sz w:val="14"/>
          <w:lang w:val="es-MX"/>
        </w:rPr>
        <w:t>Fuente:</w:t>
      </w:r>
      <w:r w:rsidRPr="006014DF">
        <w:rPr>
          <w:rFonts w:ascii="Verdana" w:hAnsi="Verdana" w:cs="Arial"/>
          <w:sz w:val="14"/>
          <w:lang w:val="es-MX"/>
        </w:rPr>
        <w:t xml:space="preserve"> Sistema de Contabilidad Integrada (</w:t>
      </w:r>
      <w:proofErr w:type="spellStart"/>
      <w:r w:rsidR="003C088A">
        <w:rPr>
          <w:rFonts w:ascii="Verdana" w:hAnsi="Verdana" w:cs="Arial"/>
          <w:sz w:val="14"/>
          <w:lang w:val="es-MX"/>
        </w:rPr>
        <w:t>S</w:t>
      </w:r>
      <w:r w:rsidR="006F1ED3">
        <w:rPr>
          <w:rFonts w:ascii="Verdana" w:hAnsi="Verdana" w:cs="Arial"/>
          <w:sz w:val="14"/>
          <w:lang w:val="es-MX"/>
        </w:rPr>
        <w:t>icoin</w:t>
      </w:r>
      <w:proofErr w:type="spellEnd"/>
      <w:r w:rsidRPr="006014DF">
        <w:rPr>
          <w:rFonts w:ascii="Verdana" w:hAnsi="Verdana" w:cs="Arial"/>
          <w:sz w:val="14"/>
          <w:lang w:val="es-MX"/>
        </w:rPr>
        <w:t>) 0</w:t>
      </w:r>
      <w:r w:rsidR="003C088A">
        <w:rPr>
          <w:rFonts w:ascii="Verdana" w:hAnsi="Verdana" w:cs="Arial"/>
          <w:sz w:val="14"/>
          <w:lang w:val="es-MX"/>
        </w:rPr>
        <w:t>4</w:t>
      </w:r>
      <w:r w:rsidRPr="006014DF">
        <w:rPr>
          <w:rFonts w:ascii="Verdana" w:hAnsi="Verdana" w:cs="Arial"/>
          <w:sz w:val="14"/>
          <w:lang w:val="es-MX"/>
        </w:rPr>
        <w:t>/</w:t>
      </w:r>
      <w:r>
        <w:rPr>
          <w:rFonts w:ascii="Verdana" w:hAnsi="Verdana" w:cs="Arial"/>
          <w:sz w:val="14"/>
          <w:lang w:val="es-MX"/>
        </w:rPr>
        <w:t>1</w:t>
      </w:r>
      <w:r w:rsidR="003C088A">
        <w:rPr>
          <w:rFonts w:ascii="Verdana" w:hAnsi="Verdana" w:cs="Arial"/>
          <w:sz w:val="14"/>
          <w:lang w:val="es-MX"/>
        </w:rPr>
        <w:t>1</w:t>
      </w:r>
      <w:r w:rsidRPr="006014DF">
        <w:rPr>
          <w:rFonts w:ascii="Verdana" w:hAnsi="Verdana" w:cs="Arial"/>
          <w:sz w:val="14"/>
          <w:lang w:val="es-MX"/>
        </w:rPr>
        <w:t xml:space="preserve">/2024 </w:t>
      </w:r>
      <w:r>
        <w:rPr>
          <w:rFonts w:ascii="Verdana" w:hAnsi="Verdana" w:cs="Arial"/>
          <w:sz w:val="14"/>
          <w:lang w:val="es-MX"/>
        </w:rPr>
        <w:t>8</w:t>
      </w:r>
      <w:r w:rsidRPr="006014DF">
        <w:rPr>
          <w:rFonts w:ascii="Verdana" w:hAnsi="Verdana" w:cs="Arial"/>
          <w:sz w:val="14"/>
          <w:lang w:val="es-MX"/>
        </w:rPr>
        <w:t>:05</w:t>
      </w:r>
    </w:p>
    <w:p w14:paraId="71F3AE92" w14:textId="395D02F9" w:rsidR="00AB38F5" w:rsidRPr="00732114" w:rsidRDefault="00E01E7B" w:rsidP="00AB38F5">
      <w:pPr>
        <w:jc w:val="both"/>
        <w:rPr>
          <w:rFonts w:ascii="Verdana" w:hAnsi="Verdana" w:cs="Arial"/>
          <w:lang w:val="es-MX"/>
        </w:rPr>
      </w:pPr>
      <w:r w:rsidRPr="00732114">
        <w:rPr>
          <w:rFonts w:ascii="Verdana" w:hAnsi="Verdana" w:cs="Arial"/>
          <w:lang w:val="es-MX"/>
        </w:rPr>
        <w:lastRenderedPageBreak/>
        <w:t>El cuadro No. 2</w:t>
      </w:r>
      <w:r w:rsidR="00AB38F5" w:rsidRPr="00732114">
        <w:rPr>
          <w:rFonts w:ascii="Verdana" w:hAnsi="Verdana" w:cs="Arial"/>
          <w:lang w:val="es-MX"/>
        </w:rPr>
        <w:t xml:space="preserve"> detalla el comportamiento del uso de las cuotas</w:t>
      </w:r>
      <w:r w:rsidRPr="00732114">
        <w:rPr>
          <w:rFonts w:ascii="Verdana" w:hAnsi="Verdana" w:cs="Arial"/>
          <w:lang w:val="es-MX"/>
        </w:rPr>
        <w:t xml:space="preserve"> financieras</w:t>
      </w:r>
      <w:r w:rsidR="00AB38F5" w:rsidRPr="00732114">
        <w:rPr>
          <w:rFonts w:ascii="Verdana" w:hAnsi="Verdana" w:cs="Arial"/>
          <w:lang w:val="es-MX"/>
        </w:rPr>
        <w:t xml:space="preserve"> por las distintas fuentes de financiamiento:</w:t>
      </w:r>
    </w:p>
    <w:p w14:paraId="2C7D100D" w14:textId="58032E71" w:rsidR="00AB38F5" w:rsidRPr="00732114" w:rsidRDefault="00AB38F5" w:rsidP="00AB38F5">
      <w:pPr>
        <w:jc w:val="both"/>
        <w:rPr>
          <w:rFonts w:ascii="Verdana" w:hAnsi="Verdana" w:cs="Arial"/>
          <w:lang w:val="es-MX"/>
        </w:rPr>
      </w:pPr>
    </w:p>
    <w:p w14:paraId="133942D2" w14:textId="77777777" w:rsidR="00E01E7B" w:rsidRPr="00732114" w:rsidRDefault="00E01E7B" w:rsidP="00E01E7B">
      <w:pPr>
        <w:jc w:val="center"/>
        <w:rPr>
          <w:rFonts w:ascii="Verdana" w:hAnsi="Verdana" w:cs="Arial"/>
          <w:b/>
          <w:lang w:val="es-MX"/>
        </w:rPr>
      </w:pPr>
      <w:r w:rsidRPr="00732114">
        <w:rPr>
          <w:rFonts w:ascii="Verdana" w:hAnsi="Verdana" w:cs="Arial"/>
          <w:b/>
          <w:lang w:val="es-MX"/>
        </w:rPr>
        <w:t>Cuadro No. 2</w:t>
      </w:r>
    </w:p>
    <w:p w14:paraId="16C51AFA" w14:textId="76D2D20C" w:rsidR="00E01E7B" w:rsidRPr="00732114" w:rsidRDefault="00E01E7B" w:rsidP="00E01E7B">
      <w:pPr>
        <w:jc w:val="center"/>
        <w:rPr>
          <w:rFonts w:ascii="Verdana" w:hAnsi="Verdana" w:cs="Arial"/>
          <w:b/>
          <w:lang w:val="es-MX"/>
        </w:rPr>
      </w:pPr>
      <w:r w:rsidRPr="00732114">
        <w:rPr>
          <w:rFonts w:ascii="Verdana" w:hAnsi="Verdana" w:cs="Arial"/>
          <w:b/>
          <w:lang w:val="es-MX"/>
        </w:rPr>
        <w:t>Viceministerio de Inve</w:t>
      </w:r>
      <w:bookmarkStart w:id="0" w:name="_GoBack"/>
      <w:bookmarkEnd w:id="0"/>
      <w:r w:rsidRPr="00732114">
        <w:rPr>
          <w:rFonts w:ascii="Verdana" w:hAnsi="Verdana" w:cs="Arial"/>
          <w:b/>
          <w:lang w:val="es-MX"/>
        </w:rPr>
        <w:t>rsión y Competencia</w:t>
      </w:r>
    </w:p>
    <w:p w14:paraId="22A8B480" w14:textId="77777777" w:rsidR="00E01E7B" w:rsidRPr="00732114" w:rsidRDefault="00E01E7B" w:rsidP="00E01E7B">
      <w:pPr>
        <w:jc w:val="center"/>
        <w:rPr>
          <w:rFonts w:ascii="Verdana" w:hAnsi="Verdana" w:cs="Arial"/>
          <w:b/>
          <w:lang w:val="es-MX"/>
        </w:rPr>
      </w:pPr>
      <w:r w:rsidRPr="00732114">
        <w:rPr>
          <w:rFonts w:ascii="Verdana" w:hAnsi="Verdana" w:cs="Arial"/>
          <w:b/>
          <w:lang w:val="es-MX"/>
        </w:rPr>
        <w:t>Informe de Ejecución de Cuota Financiera</w:t>
      </w:r>
    </w:p>
    <w:p w14:paraId="69156365" w14:textId="77777777" w:rsidR="00E01E7B" w:rsidRPr="00732114" w:rsidRDefault="00E01E7B" w:rsidP="00AB38F5">
      <w:pPr>
        <w:jc w:val="both"/>
        <w:rPr>
          <w:rFonts w:ascii="Verdana" w:hAnsi="Verdana" w:cs="Arial"/>
          <w:lang w:val="es-MX"/>
        </w:rPr>
      </w:pPr>
    </w:p>
    <w:p w14:paraId="5111BCEB" w14:textId="7812EE2B" w:rsidR="00AB38F5" w:rsidRPr="003C088A" w:rsidRDefault="003C088A" w:rsidP="003C088A">
      <w:pPr>
        <w:jc w:val="both"/>
        <w:rPr>
          <w:rFonts w:ascii="Verdana" w:hAnsi="Verdana" w:cs="Arial"/>
          <w:lang w:val="es-MX"/>
        </w:rPr>
      </w:pPr>
      <w:r w:rsidRPr="003C088A">
        <w:rPr>
          <w:noProof/>
          <w:lang w:eastAsia="es-GT"/>
        </w:rPr>
        <w:drawing>
          <wp:inline distT="0" distB="0" distL="0" distR="0" wp14:anchorId="0A670D93" wp14:editId="283AE284">
            <wp:extent cx="6466084" cy="2657475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5193" cy="2685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D871F" w14:textId="443142A9" w:rsidR="009C40EB" w:rsidRPr="002204FB" w:rsidRDefault="009E1F4C" w:rsidP="009C40EB">
      <w:pPr>
        <w:jc w:val="center"/>
        <w:rPr>
          <w:rFonts w:ascii="Verdana" w:hAnsi="Verdana" w:cs="Arial"/>
          <w:color w:val="000000" w:themeColor="text1"/>
          <w:sz w:val="16"/>
        </w:rPr>
      </w:pPr>
      <w:r w:rsidRPr="006014DF">
        <w:rPr>
          <w:rFonts w:ascii="Verdana" w:hAnsi="Verdana" w:cs="Arial"/>
          <w:b/>
          <w:sz w:val="14"/>
          <w:lang w:val="es-MX"/>
        </w:rPr>
        <w:t>Fuente:</w:t>
      </w:r>
      <w:r w:rsidRPr="006014DF">
        <w:rPr>
          <w:rFonts w:ascii="Verdana" w:hAnsi="Verdana" w:cs="Arial"/>
          <w:sz w:val="14"/>
          <w:lang w:val="es-MX"/>
        </w:rPr>
        <w:t xml:space="preserve"> Sistema de Contabilidad Integrada (</w:t>
      </w:r>
      <w:proofErr w:type="spellStart"/>
      <w:r w:rsidRPr="006014DF">
        <w:rPr>
          <w:rFonts w:ascii="Verdana" w:hAnsi="Verdana" w:cs="Arial"/>
          <w:sz w:val="14"/>
          <w:lang w:val="es-MX"/>
        </w:rPr>
        <w:t>S</w:t>
      </w:r>
      <w:r w:rsidR="006F1ED3">
        <w:rPr>
          <w:rFonts w:ascii="Verdana" w:hAnsi="Verdana" w:cs="Arial"/>
          <w:sz w:val="14"/>
          <w:lang w:val="es-MX"/>
        </w:rPr>
        <w:t>icoin</w:t>
      </w:r>
      <w:proofErr w:type="spellEnd"/>
      <w:r w:rsidRPr="006014DF">
        <w:rPr>
          <w:rFonts w:ascii="Verdana" w:hAnsi="Verdana" w:cs="Arial"/>
          <w:sz w:val="14"/>
          <w:lang w:val="es-MX"/>
        </w:rPr>
        <w:t xml:space="preserve">) </w:t>
      </w:r>
      <w:r w:rsidR="003C088A">
        <w:rPr>
          <w:rFonts w:ascii="Verdana" w:hAnsi="Verdana" w:cs="Arial"/>
          <w:sz w:val="14"/>
          <w:lang w:val="es-MX"/>
        </w:rPr>
        <w:t>04</w:t>
      </w:r>
      <w:r w:rsidRPr="006014DF">
        <w:rPr>
          <w:rFonts w:ascii="Verdana" w:hAnsi="Verdana" w:cs="Arial"/>
          <w:sz w:val="14"/>
          <w:lang w:val="es-MX"/>
        </w:rPr>
        <w:t>/</w:t>
      </w:r>
      <w:r>
        <w:rPr>
          <w:rFonts w:ascii="Verdana" w:hAnsi="Verdana" w:cs="Arial"/>
          <w:sz w:val="14"/>
          <w:lang w:val="es-MX"/>
        </w:rPr>
        <w:t>1</w:t>
      </w:r>
      <w:r w:rsidR="003C088A">
        <w:rPr>
          <w:rFonts w:ascii="Verdana" w:hAnsi="Verdana" w:cs="Arial"/>
          <w:sz w:val="14"/>
          <w:lang w:val="es-MX"/>
        </w:rPr>
        <w:t>1</w:t>
      </w:r>
      <w:r w:rsidRPr="006014DF">
        <w:rPr>
          <w:rFonts w:ascii="Verdana" w:hAnsi="Verdana" w:cs="Arial"/>
          <w:sz w:val="14"/>
          <w:lang w:val="es-MX"/>
        </w:rPr>
        <w:t xml:space="preserve">/2024 </w:t>
      </w:r>
      <w:r>
        <w:rPr>
          <w:rFonts w:ascii="Verdana" w:hAnsi="Verdana" w:cs="Arial"/>
          <w:sz w:val="14"/>
          <w:lang w:val="es-MX"/>
        </w:rPr>
        <w:t>8</w:t>
      </w:r>
      <w:r w:rsidRPr="006014DF">
        <w:rPr>
          <w:rFonts w:ascii="Verdana" w:hAnsi="Verdana" w:cs="Arial"/>
          <w:sz w:val="14"/>
          <w:lang w:val="es-MX"/>
        </w:rPr>
        <w:t>:05</w:t>
      </w:r>
    </w:p>
    <w:p w14:paraId="3089763D" w14:textId="7E1827D8" w:rsidR="00AB38F5" w:rsidRPr="00E40F53" w:rsidRDefault="00AB38F5" w:rsidP="009C40EB">
      <w:pPr>
        <w:rPr>
          <w:rFonts w:ascii="Verdana" w:hAnsi="Verdana" w:cs="Arial"/>
          <w:sz w:val="16"/>
          <w:lang w:val="es-MX"/>
        </w:rPr>
      </w:pPr>
    </w:p>
    <w:p w14:paraId="2489C719" w14:textId="77777777" w:rsidR="00AB38F5" w:rsidRPr="00732114" w:rsidRDefault="00AB38F5" w:rsidP="00AB38F5">
      <w:pPr>
        <w:rPr>
          <w:rFonts w:ascii="Verdana" w:hAnsi="Verdana" w:cs="Arial"/>
          <w:lang w:val="es-MX"/>
        </w:rPr>
      </w:pPr>
    </w:p>
    <w:p w14:paraId="54A7C1C1" w14:textId="77777777" w:rsidR="00AB38F5" w:rsidRPr="00732114" w:rsidRDefault="00AB38F5" w:rsidP="00AB38F5">
      <w:pPr>
        <w:rPr>
          <w:rFonts w:ascii="Verdana" w:hAnsi="Verdana"/>
        </w:rPr>
      </w:pPr>
    </w:p>
    <w:p w14:paraId="42C0E161" w14:textId="77777777" w:rsidR="00AB38F5" w:rsidRPr="00732114" w:rsidRDefault="00AB38F5" w:rsidP="00AB38F5">
      <w:pPr>
        <w:rPr>
          <w:rFonts w:ascii="Verdana" w:hAnsi="Verdana"/>
        </w:rPr>
      </w:pPr>
    </w:p>
    <w:sectPr w:rsidR="00AB38F5" w:rsidRPr="00732114" w:rsidSect="001B4703">
      <w:headerReference w:type="default" r:id="rId11"/>
      <w:footerReference w:type="default" r:id="rId12"/>
      <w:pgSz w:w="12240" w:h="15840"/>
      <w:pgMar w:top="243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6F0E53" w14:textId="77777777" w:rsidR="001B6D41" w:rsidRDefault="001B6D41" w:rsidP="00950217">
      <w:r>
        <w:separator/>
      </w:r>
    </w:p>
  </w:endnote>
  <w:endnote w:type="continuationSeparator" w:id="0">
    <w:p w14:paraId="4EA965FB" w14:textId="77777777" w:rsidR="001B6D41" w:rsidRDefault="001B6D41" w:rsidP="0095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A1189" w14:textId="0B1D01B9" w:rsidR="005F051F" w:rsidRDefault="005F051F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72D7BFB7" wp14:editId="023759CF">
          <wp:simplePos x="0" y="0"/>
          <wp:positionH relativeFrom="margin">
            <wp:align>center</wp:align>
          </wp:positionH>
          <wp:positionV relativeFrom="paragraph">
            <wp:posOffset>-278765</wp:posOffset>
          </wp:positionV>
          <wp:extent cx="7981772" cy="925989"/>
          <wp:effectExtent l="0" t="0" r="635" b="7620"/>
          <wp:wrapNone/>
          <wp:docPr id="61956080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560806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772" cy="925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79F332" w14:textId="77777777" w:rsidR="001B6D41" w:rsidRDefault="001B6D41" w:rsidP="00950217">
      <w:r>
        <w:separator/>
      </w:r>
    </w:p>
  </w:footnote>
  <w:footnote w:type="continuationSeparator" w:id="0">
    <w:p w14:paraId="32356E40" w14:textId="77777777" w:rsidR="001B6D41" w:rsidRDefault="001B6D41" w:rsidP="0095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499DC" w14:textId="636D1C2E" w:rsidR="005F051F" w:rsidRDefault="005F051F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7216" behindDoc="1" locked="0" layoutInCell="1" allowOverlap="1" wp14:anchorId="6BDEEEAB" wp14:editId="7D06F49F">
          <wp:simplePos x="0" y="0"/>
          <wp:positionH relativeFrom="page">
            <wp:align>left</wp:align>
          </wp:positionH>
          <wp:positionV relativeFrom="paragraph">
            <wp:posOffset>-192405</wp:posOffset>
          </wp:positionV>
          <wp:extent cx="7753350" cy="1283452"/>
          <wp:effectExtent l="0" t="0" r="0" b="0"/>
          <wp:wrapNone/>
          <wp:docPr id="922632323" name="Imagen 1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632323" name="Imagen 1" descr="Patrón de fond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0" cy="1283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217"/>
    <w:rsid w:val="00040299"/>
    <w:rsid w:val="00062442"/>
    <w:rsid w:val="000638DF"/>
    <w:rsid w:val="00071C4F"/>
    <w:rsid w:val="000F6B0C"/>
    <w:rsid w:val="00100102"/>
    <w:rsid w:val="00142F8F"/>
    <w:rsid w:val="00166D19"/>
    <w:rsid w:val="00183A5B"/>
    <w:rsid w:val="001913DA"/>
    <w:rsid w:val="001952E8"/>
    <w:rsid w:val="001B245F"/>
    <w:rsid w:val="001B4703"/>
    <w:rsid w:val="001B6D41"/>
    <w:rsid w:val="00210269"/>
    <w:rsid w:val="002204FB"/>
    <w:rsid w:val="0024654A"/>
    <w:rsid w:val="00275CAA"/>
    <w:rsid w:val="002A561E"/>
    <w:rsid w:val="002A7104"/>
    <w:rsid w:val="002C2478"/>
    <w:rsid w:val="002C38CB"/>
    <w:rsid w:val="002E52C2"/>
    <w:rsid w:val="002F17ED"/>
    <w:rsid w:val="00313F7D"/>
    <w:rsid w:val="0037225F"/>
    <w:rsid w:val="00383F4B"/>
    <w:rsid w:val="003C088A"/>
    <w:rsid w:val="003F54EC"/>
    <w:rsid w:val="00441015"/>
    <w:rsid w:val="004D43EC"/>
    <w:rsid w:val="00507D19"/>
    <w:rsid w:val="00542C86"/>
    <w:rsid w:val="00593C7D"/>
    <w:rsid w:val="0059682B"/>
    <w:rsid w:val="005C4EEB"/>
    <w:rsid w:val="005C61BD"/>
    <w:rsid w:val="005E2E7E"/>
    <w:rsid w:val="005F051F"/>
    <w:rsid w:val="005F5695"/>
    <w:rsid w:val="00607F76"/>
    <w:rsid w:val="006167A2"/>
    <w:rsid w:val="006B3B0D"/>
    <w:rsid w:val="006C5DCE"/>
    <w:rsid w:val="006E1C78"/>
    <w:rsid w:val="006E32FB"/>
    <w:rsid w:val="006E79D6"/>
    <w:rsid w:val="006F1ED3"/>
    <w:rsid w:val="0071329B"/>
    <w:rsid w:val="00732114"/>
    <w:rsid w:val="00733A93"/>
    <w:rsid w:val="008254BC"/>
    <w:rsid w:val="00870270"/>
    <w:rsid w:val="008723E7"/>
    <w:rsid w:val="00891D77"/>
    <w:rsid w:val="008973EC"/>
    <w:rsid w:val="008A58DA"/>
    <w:rsid w:val="008E47E2"/>
    <w:rsid w:val="0090788B"/>
    <w:rsid w:val="00927BDC"/>
    <w:rsid w:val="00950217"/>
    <w:rsid w:val="009571B6"/>
    <w:rsid w:val="009754CE"/>
    <w:rsid w:val="009B035D"/>
    <w:rsid w:val="009C40EB"/>
    <w:rsid w:val="009E1F4C"/>
    <w:rsid w:val="009F6A1D"/>
    <w:rsid w:val="009F7CFB"/>
    <w:rsid w:val="00A020F8"/>
    <w:rsid w:val="00A07044"/>
    <w:rsid w:val="00A11628"/>
    <w:rsid w:val="00A34B00"/>
    <w:rsid w:val="00A57D2A"/>
    <w:rsid w:val="00AB38F5"/>
    <w:rsid w:val="00AB5A9A"/>
    <w:rsid w:val="00AC73B4"/>
    <w:rsid w:val="00AE59AB"/>
    <w:rsid w:val="00B55A30"/>
    <w:rsid w:val="00BB35A3"/>
    <w:rsid w:val="00BE4C5C"/>
    <w:rsid w:val="00BE4DD6"/>
    <w:rsid w:val="00BE6DE5"/>
    <w:rsid w:val="00BF205D"/>
    <w:rsid w:val="00C07E0B"/>
    <w:rsid w:val="00C64308"/>
    <w:rsid w:val="00C72F67"/>
    <w:rsid w:val="00CB25CE"/>
    <w:rsid w:val="00CB2A75"/>
    <w:rsid w:val="00CD15FB"/>
    <w:rsid w:val="00CD79B5"/>
    <w:rsid w:val="00CF2ACD"/>
    <w:rsid w:val="00CF72F1"/>
    <w:rsid w:val="00D266EB"/>
    <w:rsid w:val="00DA4F9A"/>
    <w:rsid w:val="00DD720C"/>
    <w:rsid w:val="00E01E7B"/>
    <w:rsid w:val="00E07DC6"/>
    <w:rsid w:val="00E21A0D"/>
    <w:rsid w:val="00E301A8"/>
    <w:rsid w:val="00E40F53"/>
    <w:rsid w:val="00EB2464"/>
    <w:rsid w:val="00ED2FA1"/>
    <w:rsid w:val="00EE2B1A"/>
    <w:rsid w:val="00EF05FE"/>
    <w:rsid w:val="00F27518"/>
    <w:rsid w:val="00F3183C"/>
    <w:rsid w:val="00F61D80"/>
    <w:rsid w:val="00F7732C"/>
    <w:rsid w:val="00F8626B"/>
    <w:rsid w:val="00FB2180"/>
    <w:rsid w:val="00FB4425"/>
    <w:rsid w:val="00FD7D6E"/>
    <w:rsid w:val="1A98FAC5"/>
    <w:rsid w:val="2E83A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D62ED2"/>
  <w15:docId w15:val="{5BCDE7AD-94F1-4669-9BD5-B948C313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0217"/>
  </w:style>
  <w:style w:type="paragraph" w:styleId="Piedepgina">
    <w:name w:val="footer"/>
    <w:basedOn w:val="Normal"/>
    <w:link w:val="Piedepgina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217"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8973EC"/>
    <w:rPr>
      <w:kern w:val="0"/>
      <w:sz w:val="22"/>
      <w:szCs w:val="22"/>
      <w:lang w:val="es-ES"/>
      <w14:ligatures w14:val="none"/>
    </w:rPr>
  </w:style>
  <w:style w:type="table" w:styleId="Tablaconcuadrcula">
    <w:name w:val="Table Grid"/>
    <w:basedOn w:val="Tablanormal"/>
    <w:uiPriority w:val="39"/>
    <w:rsid w:val="002C2478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B38F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paragraph" w:styleId="Textoindependiente">
    <w:name w:val="Body Text"/>
    <w:basedOn w:val="Normal"/>
    <w:link w:val="TextoindependienteCar"/>
    <w:unhideWhenUsed/>
    <w:rsid w:val="00AB38F5"/>
    <w:pPr>
      <w:ind w:right="-57"/>
    </w:pPr>
    <w:rPr>
      <w:rFonts w:ascii="Arial" w:eastAsia="Times New Roman" w:hAnsi="Arial" w:cs="Times New Roman"/>
      <w:kern w:val="0"/>
      <w:szCs w:val="20"/>
      <w:lang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AB38F5"/>
    <w:rPr>
      <w:rFonts w:ascii="Arial" w:eastAsia="Times New Roman" w:hAnsi="Arial" w:cs="Times New Roman"/>
      <w:kern w:val="0"/>
      <w:szCs w:val="20"/>
      <w:lang w:eastAsia="es-ES"/>
      <w14:ligatures w14:val="non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75CAA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75CA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275C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fgarciae\Desktop\Mineco\Direcci&#243;n%20Financiera\Informes%20Mensuales\Presupuesto%20por%20Dependencias%20al%2031%20de%20octubre%20202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5579138122481438E-2"/>
          <c:y val="1.8552723703553316E-2"/>
          <c:w val="0.96884167881569827"/>
          <c:h val="0.96078930538829888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>
                  <a:shade val="76000"/>
                  <a:alpha val="90000"/>
                </a:schemeClr>
              </a:solidFill>
              <a:ln w="19050">
                <a:solidFill>
                  <a:schemeClr val="accent1">
                    <a:shade val="76000"/>
                    <a:lumMod val="75000"/>
                  </a:schemeClr>
                </a:solidFill>
              </a:ln>
              <a:effectLst>
                <a:innerShdw blurRad="114300">
                  <a:schemeClr val="accent1">
                    <a:shade val="76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shade val="76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7757-40D2-A262-BAC0A9F580F6}"/>
              </c:ext>
            </c:extLst>
          </c:dPt>
          <c:dPt>
            <c:idx val="1"/>
            <c:bubble3D val="0"/>
            <c:spPr>
              <a:solidFill>
                <a:schemeClr val="accent1">
                  <a:tint val="77000"/>
                  <a:alpha val="90000"/>
                </a:schemeClr>
              </a:solidFill>
              <a:ln w="19050">
                <a:solidFill>
                  <a:schemeClr val="accent1">
                    <a:tint val="77000"/>
                    <a:lumMod val="75000"/>
                  </a:schemeClr>
                </a:solidFill>
              </a:ln>
              <a:effectLst>
                <a:innerShdw blurRad="114300">
                  <a:schemeClr val="accent1">
                    <a:tint val="77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tint val="77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7757-40D2-A262-BAC0A9F580F6}"/>
              </c:ext>
            </c:extLst>
          </c:dPt>
          <c:dLbls>
            <c:dLbl>
              <c:idx val="0"/>
              <c:layout>
                <c:manualLayout>
                  <c:x val="-0.10011706730981249"/>
                  <c:y val="0.1535910360321309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600" b="1" i="0" u="none" strike="noStrike" kern="1200" baseline="0">
                        <a:solidFill>
                          <a:srgbClr val="0070C0"/>
                        </a:solidFill>
                        <a:effectLst/>
                        <a:latin typeface="Verdana" panose="020B0604030504040204" pitchFamily="34" charset="0"/>
                        <a:ea typeface="Verdana" panose="020B0604030504040204" pitchFamily="34" charset="0"/>
                        <a:cs typeface="+mn-cs"/>
                      </a:defRPr>
                    </a:pPr>
                    <a:fld id="{7D965F49-A9E8-492D-8A96-2D1843781BFC}" type="CATEGORYNAME">
                      <a:rPr lang="en-US" sz="1200">
                        <a:solidFill>
                          <a:srgbClr val="0070C0"/>
                        </a:solidFill>
                        <a:latin typeface="Verdana" panose="020B0604030504040204" pitchFamily="34" charset="0"/>
                        <a:ea typeface="Verdana" panose="020B0604030504040204" pitchFamily="34" charset="0"/>
                      </a:rPr>
                      <a:pPr>
                        <a:defRPr sz="1600" b="1">
                          <a:solidFill>
                            <a:srgbClr val="0070C0"/>
                          </a:solidFill>
                          <a:latin typeface="Verdana" panose="020B0604030504040204" pitchFamily="34" charset="0"/>
                          <a:ea typeface="Verdana" panose="020B0604030504040204" pitchFamily="34" charset="0"/>
                        </a:defRPr>
                      </a:pPr>
                      <a:t>[NOMBRE DE CATEGORÍA]</a:t>
                    </a:fld>
                    <a:r>
                      <a:rPr lang="en-US" sz="1200" baseline="0">
                        <a:solidFill>
                          <a:srgbClr val="0070C0"/>
                        </a:solidFill>
                        <a:latin typeface="Verdana" panose="020B0604030504040204" pitchFamily="34" charset="0"/>
                        <a:ea typeface="Verdana" panose="020B0604030504040204" pitchFamily="34" charset="0"/>
                      </a:rPr>
                      <a:t>; </a:t>
                    </a:r>
                    <a:fld id="{D077F604-C60B-40B3-85C0-7C05C2F6F2AD}" type="VALUE">
                      <a:rPr lang="en-US" sz="1200" baseline="0">
                        <a:solidFill>
                          <a:srgbClr val="0070C0"/>
                        </a:solidFill>
                        <a:latin typeface="Verdana" panose="020B0604030504040204" pitchFamily="34" charset="0"/>
                        <a:ea typeface="Verdana" panose="020B0604030504040204" pitchFamily="34" charset="0"/>
                      </a:rPr>
                      <a:pPr>
                        <a:defRPr sz="1600" b="1">
                          <a:solidFill>
                            <a:srgbClr val="0070C0"/>
                          </a:solidFill>
                          <a:latin typeface="Verdana" panose="020B0604030504040204" pitchFamily="34" charset="0"/>
                          <a:ea typeface="Verdana" panose="020B0604030504040204" pitchFamily="34" charset="0"/>
                        </a:defRPr>
                      </a:pPr>
                      <a:t>[VALOR]</a:t>
                    </a:fld>
                    <a:r>
                      <a:rPr lang="en-US" sz="1200" baseline="0">
                        <a:solidFill>
                          <a:srgbClr val="0070C0"/>
                        </a:solidFill>
                        <a:latin typeface="Verdana" panose="020B0604030504040204" pitchFamily="34" charset="0"/>
                        <a:ea typeface="Verdana" panose="020B0604030504040204" pitchFamily="34" charset="0"/>
                      </a:rPr>
                      <a:t>; </a:t>
                    </a:r>
                  </a:p>
                  <a:p>
                    <a:pPr>
                      <a:defRPr sz="1600" b="1">
                        <a:solidFill>
                          <a:srgbClr val="0070C0"/>
                        </a:solidFill>
                        <a:latin typeface="Verdana" panose="020B0604030504040204" pitchFamily="34" charset="0"/>
                        <a:ea typeface="Verdana" panose="020B0604030504040204" pitchFamily="34" charset="0"/>
                      </a:defRPr>
                    </a:pPr>
                    <a:r>
                      <a:rPr lang="en-US" sz="1200"/>
                      <a:t>59.95%</a:t>
                    </a:r>
                  </a:p>
                </c:rich>
              </c:tx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1">
                      <a:shade val="76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1">
                      <a:shade val="76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600" b="1" i="0" u="none" strike="noStrike" kern="1200" baseline="0">
                      <a:solidFill>
                        <a:srgbClr val="0070C0"/>
                      </a:solidFill>
                      <a:effectLst/>
                      <a:latin typeface="Verdana" panose="020B0604030504040204" pitchFamily="34" charset="0"/>
                      <a:ea typeface="Verdana" panose="020B0604030504040204" pitchFamily="34" charset="0"/>
                      <a:cs typeface="+mn-cs"/>
                    </a:defRPr>
                  </a:pPr>
                  <a:endParaRPr lang="es-GT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8391579371162676"/>
                      <c:h val="0.25772981564555425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7757-40D2-A262-BAC0A9F580F6}"/>
                </c:ext>
              </c:extLst>
            </c:dLbl>
            <c:dLbl>
              <c:idx val="1"/>
              <c:layout>
                <c:manualLayout>
                  <c:x val="0.11209439528023599"/>
                  <c:y val="9.1368280160199045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600" b="1" i="0" u="none" strike="noStrike" kern="1200" baseline="0">
                        <a:solidFill>
                          <a:srgbClr val="0070C0"/>
                        </a:solidFill>
                        <a:effectLst/>
                        <a:latin typeface="Verdana" panose="020B0604030504040204" pitchFamily="34" charset="0"/>
                        <a:ea typeface="Verdana" panose="020B0604030504040204" pitchFamily="34" charset="0"/>
                        <a:cs typeface="+mn-cs"/>
                      </a:defRPr>
                    </a:pPr>
                    <a:fld id="{89575D62-68AB-4241-A430-367604E60EB1}" type="CATEGORYNAME">
                      <a:rPr lang="en-US" sz="1200">
                        <a:solidFill>
                          <a:srgbClr val="0070C0"/>
                        </a:solidFill>
                        <a:latin typeface="Verdana" panose="020B0604030504040204" pitchFamily="34" charset="0"/>
                        <a:ea typeface="Verdana" panose="020B0604030504040204" pitchFamily="34" charset="0"/>
                      </a:rPr>
                      <a:pPr>
                        <a:defRPr sz="1600" b="1">
                          <a:solidFill>
                            <a:srgbClr val="0070C0"/>
                          </a:solidFill>
                          <a:latin typeface="Verdana" panose="020B0604030504040204" pitchFamily="34" charset="0"/>
                          <a:ea typeface="Verdana" panose="020B0604030504040204" pitchFamily="34" charset="0"/>
                        </a:defRPr>
                      </a:pPr>
                      <a:t>[NOMBRE DE CATEGORÍA]</a:t>
                    </a:fld>
                    <a:r>
                      <a:rPr lang="en-US" sz="1200" baseline="0">
                        <a:solidFill>
                          <a:srgbClr val="0070C0"/>
                        </a:solidFill>
                        <a:latin typeface="Verdana" panose="020B0604030504040204" pitchFamily="34" charset="0"/>
                        <a:ea typeface="Verdana" panose="020B0604030504040204" pitchFamily="34" charset="0"/>
                      </a:rPr>
                      <a:t>; </a:t>
                    </a:r>
                    <a:fld id="{7E113A83-01CD-4010-A576-472E8D6D380C}" type="VALUE">
                      <a:rPr lang="en-US" sz="1200" baseline="0">
                        <a:solidFill>
                          <a:srgbClr val="0070C0"/>
                        </a:solidFill>
                        <a:latin typeface="Verdana" panose="020B0604030504040204" pitchFamily="34" charset="0"/>
                        <a:ea typeface="Verdana" panose="020B0604030504040204" pitchFamily="34" charset="0"/>
                      </a:rPr>
                      <a:pPr>
                        <a:defRPr sz="1600" b="1">
                          <a:solidFill>
                            <a:srgbClr val="0070C0"/>
                          </a:solidFill>
                          <a:latin typeface="Verdana" panose="020B0604030504040204" pitchFamily="34" charset="0"/>
                          <a:ea typeface="Verdana" panose="020B0604030504040204" pitchFamily="34" charset="0"/>
                        </a:defRPr>
                      </a:pPr>
                      <a:t>[VALOR]</a:t>
                    </a:fld>
                    <a:r>
                      <a:rPr lang="en-US" sz="1200" baseline="0">
                        <a:solidFill>
                          <a:srgbClr val="0070C0"/>
                        </a:solidFill>
                        <a:latin typeface="Verdana" panose="020B0604030504040204" pitchFamily="34" charset="0"/>
                        <a:ea typeface="Verdana" panose="020B0604030504040204" pitchFamily="34" charset="0"/>
                      </a:rPr>
                      <a:t>;</a:t>
                    </a:r>
                  </a:p>
                  <a:p>
                    <a:pPr>
                      <a:defRPr sz="1600" b="1">
                        <a:solidFill>
                          <a:srgbClr val="0070C0"/>
                        </a:solidFill>
                        <a:latin typeface="Verdana" panose="020B0604030504040204" pitchFamily="34" charset="0"/>
                        <a:ea typeface="Verdana" panose="020B0604030504040204" pitchFamily="34" charset="0"/>
                      </a:defRPr>
                    </a:pPr>
                    <a:r>
                      <a:rPr lang="en-US" sz="1200" baseline="0">
                        <a:solidFill>
                          <a:srgbClr val="0070C0"/>
                        </a:solidFill>
                        <a:latin typeface="Verdana" panose="020B0604030504040204" pitchFamily="34" charset="0"/>
                        <a:ea typeface="Verdana" panose="020B0604030504040204" pitchFamily="34" charset="0"/>
                      </a:rPr>
                      <a:t> 40.05%</a:t>
                    </a:r>
                  </a:p>
                </c:rich>
              </c:tx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1">
                      <a:tint val="77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1">
                      <a:tint val="77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600" b="1" i="0" u="none" strike="noStrike" kern="1200" baseline="0">
                      <a:solidFill>
                        <a:srgbClr val="0070C0"/>
                      </a:solidFill>
                      <a:effectLst/>
                      <a:latin typeface="Verdana" panose="020B0604030504040204" pitchFamily="34" charset="0"/>
                      <a:ea typeface="Verdana" panose="020B0604030504040204" pitchFamily="34" charset="0"/>
                      <a:cs typeface="+mn-cs"/>
                    </a:defRPr>
                  </a:pPr>
                  <a:endParaRPr lang="es-GT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4279268188821532"/>
                      <c:h val="0.29886375756815259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7757-40D2-A262-BAC0A9F580F6}"/>
                </c:ext>
              </c:extLst>
            </c:dLbl>
            <c:spPr>
              <a:solidFill>
                <a:sysClr val="window" lastClr="FFFFFF">
                  <a:alpha val="90000"/>
                </a:sysClr>
              </a:solidFill>
              <a:ln w="12700" cap="flat" cmpd="sng" algn="ctr">
                <a:solidFill>
                  <a:srgbClr val="4F81BD"/>
                </a:solidFill>
                <a:round/>
              </a:ln>
              <a:effectLst>
                <a:outerShdw blurRad="50800" dist="38100" dir="2700000" algn="tl" rotWithShape="0">
                  <a:srgbClr val="4F81BD">
                    <a:lumMod val="75000"/>
                    <a:alpha val="40000"/>
                  </a:srgbClr>
                </a:outerShdw>
              </a:effectLst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600" b="1" i="0" u="none" strike="noStrike" kern="1200" baseline="0">
                    <a:solidFill>
                      <a:srgbClr val="0070C0"/>
                    </a:solidFill>
                    <a:effectLst/>
                    <a:latin typeface="Verdana" panose="020B0604030504040204" pitchFamily="34" charset="0"/>
                    <a:ea typeface="Verdana" panose="020B0604030504040204" pitchFamily="34" charset="0"/>
                    <a:cs typeface="+mn-cs"/>
                  </a:defRPr>
                </a:pPr>
                <a:endParaRPr lang="es-GT"/>
              </a:p>
            </c:txPr>
            <c:dLblPos val="inEnd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(Inversion!$H$3,Inversion!$I$3)</c:f>
              <c:strCache>
                <c:ptCount val="2"/>
                <c:pt idx="0">
                  <c:v>Devengado </c:v>
                </c:pt>
                <c:pt idx="1">
                  <c:v>Saldo por devengar </c:v>
                </c:pt>
              </c:strCache>
            </c:strRef>
          </c:cat>
          <c:val>
            <c:numRef>
              <c:f>(Inversion!$H$48,Inversion!$I$48)</c:f>
              <c:numCache>
                <c:formatCode>"Q"#,##0.00_);\("Q"#,##0.00\)</c:formatCode>
                <c:ptCount val="2"/>
                <c:pt idx="0">
                  <c:v>42959324.120000005</c:v>
                </c:pt>
                <c:pt idx="1">
                  <c:v>28702143.879999999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757-40D2-A262-BAC0A9F580F6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263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8100" tIns="19050" rIns="38100" bIns="19050" anchor="ctr" anchorCtr="1">
      <a:spAutoFit/>
    </cs:bodyPr>
  </cs:dataLabel>
  <cs:dataLabelCallout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tx1"/>
    </cs:fontRef>
    <cs:spPr>
      <a:solidFill>
        <a:schemeClr val="phClr">
          <a:alpha val="90000"/>
        </a:schemeClr>
      </a:solidFill>
      <a:ln w="19050">
        <a:solidFill>
          <a:schemeClr val="phClr">
            <a:lumMod val="75000"/>
          </a:schemeClr>
        </a:solidFill>
      </a:ln>
      <a:effectLst>
        <a:innerShdw blurRad="114300">
          <a:schemeClr val="phClr">
            <a:lumMod val="75000"/>
          </a:schemeClr>
        </a:innerShdw>
      </a:effectLst>
      <a:scene3d>
        <a:camera prst="orthographicFront"/>
        <a:lightRig rig="threePt" dir="t"/>
      </a:scene3d>
      <a:sp3d contourW="19050" prstMaterial="flat">
        <a:contourClr>
          <a:schemeClr val="accent4">
            <a:lumMod val="75000"/>
          </a:schemeClr>
        </a:contourClr>
      </a:sp3d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3FDD5-A072-447D-968D-C8A7FD164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367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arrivillaga</dc:creator>
  <cp:lastModifiedBy>José Fernando García Estrada</cp:lastModifiedBy>
  <cp:revision>5</cp:revision>
  <cp:lastPrinted>2024-05-10T01:10:00Z</cp:lastPrinted>
  <dcterms:created xsi:type="dcterms:W3CDTF">2024-11-06T21:31:00Z</dcterms:created>
  <dcterms:modified xsi:type="dcterms:W3CDTF">2024-11-06T22:49:00Z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715555313</vt:i4>
  </property>
</Properties>
</file>