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E8EE" w14:textId="77777777" w:rsidR="00675EF5" w:rsidRPr="007A7938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Informe de Ejecución Presupuestaria</w:t>
      </w:r>
    </w:p>
    <w:p w14:paraId="08812AFB" w14:textId="0463019F" w:rsidR="00C074DA" w:rsidRPr="00FB65CA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Viceministerio</w:t>
      </w:r>
      <w:r w:rsidR="00C074DA" w:rsidRPr="00FB65CA">
        <w:rPr>
          <w:rFonts w:ascii="Verdana" w:hAnsi="Verdana" w:cs="Arial"/>
          <w:b/>
          <w:sz w:val="48"/>
        </w:rPr>
        <w:t xml:space="preserve"> </w:t>
      </w:r>
      <w:r w:rsidRPr="00FB65CA">
        <w:rPr>
          <w:rFonts w:ascii="Verdana" w:hAnsi="Verdana" w:cs="Arial"/>
          <w:b/>
          <w:sz w:val="48"/>
        </w:rPr>
        <w:t>de</w:t>
      </w:r>
    </w:p>
    <w:p w14:paraId="5E5AA038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Asuntos Registrales</w:t>
      </w:r>
    </w:p>
    <w:p w14:paraId="55C177A8" w14:textId="4FF66DF7" w:rsidR="00C074DA" w:rsidRPr="00FB65CA" w:rsidRDefault="00FB65C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Octubre</w:t>
      </w:r>
      <w:r w:rsidR="00DB4BFF" w:rsidRPr="00FB65CA">
        <w:rPr>
          <w:rFonts w:ascii="Verdana" w:hAnsi="Verdana" w:cs="Arial"/>
          <w:b/>
          <w:sz w:val="48"/>
        </w:rPr>
        <w:t xml:space="preserve"> 2024</w:t>
      </w:r>
    </w:p>
    <w:p w14:paraId="7A1856C6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12C5D59B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4AA04F89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03180567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4B93F099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Ministerio de Economía</w:t>
      </w:r>
    </w:p>
    <w:p w14:paraId="0581EF8F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0F4DA9D4" w14:textId="77777777" w:rsidR="00692DB5" w:rsidRPr="00FB65CA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1AAF9673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5D2B87DA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6A079A5F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</w:p>
    <w:p w14:paraId="40BA2918" w14:textId="77777777" w:rsidR="00C074DA" w:rsidRPr="00FB65CA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sz w:val="48"/>
        </w:rPr>
      </w:pPr>
      <w:r w:rsidRPr="00FB65CA">
        <w:rPr>
          <w:rFonts w:ascii="Verdana" w:hAnsi="Verdana" w:cs="Arial"/>
          <w:b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3B684FC2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2BC89DF8" w14:textId="06F51AD3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260E251F" w:rsidR="00C074DA" w:rsidRPr="007A7938" w:rsidRDefault="006E37F0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OCTUBRE</w:t>
      </w:r>
      <w:r w:rsidR="00C074DA" w:rsidRPr="007A7938">
        <w:rPr>
          <w:rFonts w:ascii="Verdana" w:hAnsi="Verdana" w:cs="Arial"/>
          <w:b/>
          <w:lang w:val="es-MX"/>
        </w:rPr>
        <w:t xml:space="preserve"> 2024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19DA183C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de Asuntos Registrales es la dependencia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efectividad de la gestión registral, promover la integralidad de los sistemas de información registrales, impulsar sistemas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 w:rsidRPr="007A7938">
        <w:rPr>
          <w:rFonts w:ascii="Verdana" w:eastAsia="Calibri" w:hAnsi="Verdana" w:cs="Arial"/>
          <w:szCs w:val="24"/>
          <w:lang w:val="es-MX" w:eastAsia="en-US"/>
        </w:rPr>
        <w:t xml:space="preserve">así como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verificar que 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7A7938">
        <w:rPr>
          <w:rFonts w:ascii="Verdana" w:eastAsia="Calibri" w:hAnsi="Verdana" w:cs="Arial"/>
          <w:szCs w:val="24"/>
          <w:lang w:val="es-MX" w:eastAsia="en-US"/>
        </w:rPr>
        <w:t>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6E0DEF4F" w:rsidR="00C074DA" w:rsidRPr="007A7938" w:rsidRDefault="00B90C8D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>El Viceministerio de Asuntos Registrales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7A7938">
        <w:rPr>
          <w:rFonts w:ascii="Verdana" w:eastAsia="Calibri" w:hAnsi="Verdana" w:cs="Arial"/>
          <w:szCs w:val="24"/>
          <w:lang w:val="es-MX" w:eastAsia="en-US"/>
        </w:rPr>
        <w:t>tiene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un presupuesto</w:t>
      </w:r>
      <w:r w:rsidR="008C2ACD">
        <w:rPr>
          <w:rFonts w:ascii="Verdana" w:eastAsia="Calibri" w:hAnsi="Verdana" w:cs="Arial"/>
          <w:szCs w:val="24"/>
          <w:lang w:val="es-MX" w:eastAsia="en-US"/>
        </w:rPr>
        <w:t xml:space="preserve"> asignado 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76,615,706.00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C2ACD">
        <w:rPr>
          <w:rFonts w:ascii="Verdana" w:eastAsia="Calibri" w:hAnsi="Verdana" w:cs="Arial"/>
          <w:szCs w:val="24"/>
          <w:lang w:val="es-MX" w:eastAsia="en-US"/>
        </w:rPr>
        <w:t>con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un incremento por la cantidad de Q.152,200.00 para cubrir el pago de nómina, </w:t>
      </w:r>
      <w:r w:rsidR="008C2ACD">
        <w:rPr>
          <w:rFonts w:ascii="Verdana" w:eastAsia="Calibri" w:hAnsi="Verdana" w:cs="Arial"/>
          <w:szCs w:val="24"/>
          <w:lang w:val="es-MX" w:eastAsia="en-US"/>
        </w:rPr>
        <w:t>lo que representa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un presupuesto vigente de </w:t>
      </w:r>
      <w:r w:rsidR="009903A6" w:rsidRPr="009903A6">
        <w:rPr>
          <w:rFonts w:ascii="Verdana" w:eastAsia="Calibri" w:hAnsi="Verdana" w:cs="Arial"/>
          <w:b/>
          <w:szCs w:val="24"/>
          <w:lang w:val="es-MX" w:eastAsia="en-US"/>
        </w:rPr>
        <w:t>Q76.7</w:t>
      </w:r>
      <w:r w:rsidR="008C2ACD">
        <w:rPr>
          <w:rFonts w:ascii="Verdana" w:eastAsia="Calibri" w:hAnsi="Verdana" w:cs="Arial"/>
          <w:b/>
          <w:szCs w:val="24"/>
          <w:lang w:val="es-MX" w:eastAsia="en-US"/>
        </w:rPr>
        <w:t>67,906.00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del</w:t>
      </w:r>
      <w:r w:rsidR="008C2ACD">
        <w:rPr>
          <w:rFonts w:ascii="Verdana" w:eastAsia="Calibri" w:hAnsi="Verdana" w:cs="Arial"/>
          <w:szCs w:val="24"/>
          <w:lang w:val="es-MX" w:eastAsia="en-US"/>
        </w:rPr>
        <w:t xml:space="preserve"> m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o</w:t>
      </w:r>
      <w:r w:rsidR="008C2ACD">
        <w:rPr>
          <w:rFonts w:ascii="Verdana" w:eastAsia="Calibri" w:hAnsi="Verdana" w:cs="Arial"/>
          <w:szCs w:val="24"/>
          <w:lang w:val="es-MX" w:eastAsia="en-US"/>
        </w:rPr>
        <w:t>nto anterior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al cierre de </w:t>
      </w:r>
      <w:r w:rsidR="008C2ACD">
        <w:rPr>
          <w:rFonts w:ascii="Verdana" w:eastAsia="Calibri" w:hAnsi="Verdana" w:cs="Arial"/>
          <w:szCs w:val="24"/>
          <w:lang w:val="es-MX" w:eastAsia="en-US"/>
        </w:rPr>
        <w:t>octubre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se reportó una ejecución de gastos de </w:t>
      </w:r>
      <w:r w:rsidR="00C074DA" w:rsidRPr="007A7938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519CB">
        <w:rPr>
          <w:rFonts w:ascii="Verdana" w:eastAsia="Calibri" w:hAnsi="Verdana" w:cs="Arial"/>
          <w:b/>
          <w:szCs w:val="24"/>
          <w:lang w:val="es-MX" w:eastAsia="en-US"/>
        </w:rPr>
        <w:t>4</w:t>
      </w:r>
      <w:r w:rsidR="008C2ACD">
        <w:rPr>
          <w:rFonts w:ascii="Verdana" w:eastAsia="Calibri" w:hAnsi="Verdana" w:cs="Arial"/>
          <w:b/>
          <w:szCs w:val="24"/>
          <w:lang w:val="es-MX" w:eastAsia="en-US"/>
        </w:rPr>
        <w:t>7</w:t>
      </w:r>
      <w:r w:rsidR="004519CB">
        <w:rPr>
          <w:rFonts w:ascii="Verdana" w:eastAsia="Calibri" w:hAnsi="Verdana" w:cs="Arial"/>
          <w:b/>
          <w:szCs w:val="24"/>
          <w:lang w:val="es-MX" w:eastAsia="en-US"/>
        </w:rPr>
        <w:t>.</w:t>
      </w:r>
      <w:r w:rsidR="008C2ACD">
        <w:rPr>
          <w:rFonts w:ascii="Verdana" w:eastAsia="Calibri" w:hAnsi="Verdana" w:cs="Arial"/>
          <w:b/>
          <w:szCs w:val="24"/>
          <w:lang w:val="es-MX" w:eastAsia="en-US"/>
        </w:rPr>
        <w:t>149,612.83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equivalente a un </w:t>
      </w:r>
      <w:r w:rsidR="008C2ACD">
        <w:rPr>
          <w:rFonts w:ascii="Verdana" w:eastAsia="Calibri" w:hAnsi="Verdana" w:cs="Arial"/>
          <w:b/>
          <w:bCs/>
          <w:szCs w:val="24"/>
          <w:lang w:val="es-MX" w:eastAsia="en-US"/>
        </w:rPr>
        <w:t>61</w:t>
      </w:r>
      <w:r w:rsidR="004519CB">
        <w:rPr>
          <w:rFonts w:ascii="Verdana" w:eastAsia="Calibri" w:hAnsi="Verdana" w:cs="Arial"/>
          <w:b/>
          <w:bCs/>
          <w:szCs w:val="24"/>
          <w:lang w:val="es-MX" w:eastAsia="en-US"/>
        </w:rPr>
        <w:t>.</w:t>
      </w:r>
      <w:r w:rsidR="008C2ACD">
        <w:rPr>
          <w:rFonts w:ascii="Verdana" w:eastAsia="Calibri" w:hAnsi="Verdana" w:cs="Arial"/>
          <w:b/>
          <w:bCs/>
          <w:szCs w:val="24"/>
          <w:lang w:val="es-MX" w:eastAsia="en-US"/>
        </w:rPr>
        <w:t>42</w:t>
      </w:r>
      <w:r w:rsidR="00C074DA" w:rsidRPr="007A7938">
        <w:rPr>
          <w:rFonts w:ascii="Verdana" w:eastAsia="Calibri" w:hAnsi="Verdana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49758C70" w14:textId="1FF4CEE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0DB3131F" w14:textId="342C7275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75C3A12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410B8CB" w14:textId="505F3ABA" w:rsidR="00C074DA" w:rsidRPr="007A7938" w:rsidRDefault="003A56EF" w:rsidP="00C074DA">
      <w:pPr>
        <w:jc w:val="center"/>
        <w:rPr>
          <w:rFonts w:ascii="Verdana" w:hAnsi="Verdana" w:cs="Arial"/>
          <w:b/>
          <w:lang w:val="es-MX"/>
        </w:rPr>
      </w:pPr>
      <w:r>
        <w:rPr>
          <w:noProof/>
          <w:lang w:eastAsia="es-GT"/>
        </w:rPr>
        <w:drawing>
          <wp:inline distT="0" distB="0" distL="0" distR="0" wp14:anchorId="705CE3FC" wp14:editId="5D3F4F56">
            <wp:extent cx="3886200" cy="25050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3CC71A60" w:rsidR="009A4BF3" w:rsidRDefault="009A4BF3" w:rsidP="009A4BF3">
      <w:pPr>
        <w:jc w:val="center"/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3A56EF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 w:rsidR="00133ED3">
        <w:rPr>
          <w:rFonts w:ascii="Verdana" w:hAnsi="Verdana" w:cs="Arial"/>
          <w:sz w:val="14"/>
          <w:lang w:val="es-MX"/>
        </w:rPr>
        <w:t>1</w:t>
      </w:r>
      <w:r w:rsidR="003A56EF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 w:rsidR="00133ED3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F348664" w14:textId="77777777" w:rsidR="003A56EF" w:rsidRDefault="003A56EF" w:rsidP="00C074DA">
      <w:pPr>
        <w:jc w:val="center"/>
        <w:rPr>
          <w:rFonts w:ascii="Verdana" w:hAnsi="Verdana" w:cs="Arial"/>
          <w:b/>
          <w:lang w:val="es-MX"/>
        </w:rPr>
      </w:pPr>
    </w:p>
    <w:p w14:paraId="2C971876" w14:textId="72FBB470" w:rsidR="003A56EF" w:rsidRDefault="003A56EF" w:rsidP="00C074DA">
      <w:pPr>
        <w:jc w:val="center"/>
        <w:rPr>
          <w:rFonts w:ascii="Verdana" w:hAnsi="Verdana" w:cs="Arial"/>
          <w:b/>
          <w:lang w:val="es-MX"/>
        </w:rPr>
      </w:pPr>
    </w:p>
    <w:p w14:paraId="3D46227A" w14:textId="77777777" w:rsidR="00A9053F" w:rsidRDefault="00A9053F" w:rsidP="00C074DA">
      <w:pPr>
        <w:jc w:val="center"/>
        <w:rPr>
          <w:rFonts w:ascii="Verdana" w:hAnsi="Verdana" w:cs="Arial"/>
          <w:b/>
          <w:lang w:val="es-MX"/>
        </w:rPr>
      </w:pPr>
    </w:p>
    <w:p w14:paraId="60327818" w14:textId="4D14A8A8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0FD6DCF6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44D37C9B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675EF5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789662C4" w14:textId="123B5476" w:rsidR="0080698C" w:rsidRDefault="008F0457" w:rsidP="00C074DA">
      <w:pPr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0BB026C6" wp14:editId="1A594386">
            <wp:extent cx="6562725" cy="58102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BA510" w14:textId="692C67A5" w:rsidR="00C074DA" w:rsidRPr="007A7938" w:rsidRDefault="0080698C" w:rsidP="00C074DA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8F0457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8F0457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="000232D9">
        <w:rPr>
          <w:rFonts w:ascii="Verdana" w:hAnsi="Verdana" w:cs="Arial"/>
          <w:sz w:val="14"/>
          <w:lang w:val="es-MX"/>
        </w:rPr>
        <w:t>:05</w:t>
      </w:r>
    </w:p>
    <w:p w14:paraId="09CDBCA3" w14:textId="14A7CFF8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579EB841" w14:textId="0881408D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 xml:space="preserve">El cuadro No. 1 presenta la ejecución </w:t>
      </w:r>
      <w:r w:rsidR="00C511F4" w:rsidRPr="007A7938">
        <w:rPr>
          <w:rFonts w:ascii="Verdana" w:hAnsi="Verdana" w:cs="Arial"/>
          <w:lang w:val="es-MX"/>
        </w:rPr>
        <w:t xml:space="preserve">presupuestaria </w:t>
      </w:r>
      <w:r w:rsidRPr="007A7938">
        <w:rPr>
          <w:rFonts w:ascii="Verdana" w:hAnsi="Verdana" w:cs="Arial"/>
          <w:lang w:val="es-MX"/>
        </w:rPr>
        <w:t>de los gastos del</w:t>
      </w:r>
      <w:r w:rsidR="00C074DA" w:rsidRPr="007A7938">
        <w:rPr>
          <w:rFonts w:ascii="Verdana" w:hAnsi="Verdana" w:cs="Arial"/>
          <w:lang w:val="es-MX"/>
        </w:rPr>
        <w:t xml:space="preserve"> Viceministerio de Asuntos Registrales</w:t>
      </w:r>
      <w:r w:rsidR="00DC2D2A" w:rsidRPr="007A7938">
        <w:rPr>
          <w:rFonts w:ascii="Verdana" w:hAnsi="Verdana" w:cs="Arial"/>
          <w:lang w:val="es-MX"/>
        </w:rPr>
        <w:t>, los cuales en su mayoría se concentran en pago de nómina, serv</w:t>
      </w:r>
      <w:r w:rsidR="00CA1ED9" w:rsidRPr="007A7938">
        <w:rPr>
          <w:rFonts w:ascii="Verdana" w:hAnsi="Verdana" w:cs="Arial"/>
          <w:lang w:val="es-MX"/>
        </w:rPr>
        <w:t>icios, materiales, suministros,</w:t>
      </w:r>
      <w:r w:rsidR="00DC2D2A" w:rsidRPr="007A7938">
        <w:rPr>
          <w:rFonts w:ascii="Verdana" w:hAnsi="Verdana" w:cs="Arial"/>
          <w:lang w:val="es-MX"/>
        </w:rPr>
        <w:t xml:space="preserve"> equipo</w:t>
      </w:r>
      <w:r w:rsidR="00CA1ED9" w:rsidRPr="007A7938">
        <w:rPr>
          <w:rFonts w:ascii="Verdana" w:hAnsi="Verdana" w:cs="Arial"/>
          <w:lang w:val="es-MX"/>
        </w:rPr>
        <w:t>, prestaciones laborales y sentencias judiciales</w:t>
      </w:r>
      <w:r w:rsidR="00C074DA" w:rsidRPr="007A7938">
        <w:rPr>
          <w:rFonts w:ascii="Verdana" w:hAnsi="Verdana" w:cs="Arial"/>
          <w:lang w:val="es-MX"/>
        </w:rPr>
        <w:t>:</w:t>
      </w:r>
    </w:p>
    <w:p w14:paraId="2CA6ED40" w14:textId="35804210" w:rsidR="0004605A" w:rsidRDefault="0004605A" w:rsidP="00FB65CA">
      <w:pPr>
        <w:rPr>
          <w:rFonts w:ascii="Verdana" w:hAnsi="Verdana" w:cs="Arial"/>
          <w:b/>
          <w:lang w:val="es-MX"/>
        </w:rPr>
      </w:pPr>
    </w:p>
    <w:p w14:paraId="7F0F76FB" w14:textId="04E21C30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05E100FF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17B504D" w14:textId="72A5C2E4" w:rsidR="00C074DA" w:rsidRDefault="00502924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5C32A4BB" w14:textId="77777777" w:rsidR="00D83E4F" w:rsidRPr="007A7938" w:rsidRDefault="00D83E4F" w:rsidP="00C074DA">
      <w:pPr>
        <w:jc w:val="center"/>
        <w:rPr>
          <w:rFonts w:ascii="Verdana" w:hAnsi="Verdana" w:cs="Arial"/>
          <w:b/>
          <w:lang w:val="es-MX"/>
        </w:rPr>
      </w:pPr>
    </w:p>
    <w:p w14:paraId="1CF333DB" w14:textId="26ACF97E" w:rsidR="009A4BF3" w:rsidRPr="00D83E4F" w:rsidRDefault="00D83E4F" w:rsidP="00D83E4F">
      <w:pPr>
        <w:jc w:val="center"/>
        <w:rPr>
          <w:rFonts w:ascii="Verdana" w:hAnsi="Verdana" w:cs="Arial"/>
          <w:b/>
          <w:lang w:val="es-MX"/>
        </w:rPr>
      </w:pPr>
      <w:r w:rsidRPr="00D83E4F">
        <w:rPr>
          <w:noProof/>
          <w:lang w:eastAsia="es-GT"/>
        </w:rPr>
        <w:drawing>
          <wp:inline distT="0" distB="0" distL="0" distR="0" wp14:anchorId="3111FF99" wp14:editId="36586AD3">
            <wp:extent cx="6600825" cy="66960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697F" w14:textId="2DBE188C" w:rsidR="008220D6" w:rsidRDefault="0080698C" w:rsidP="009A4BF3">
      <w:pPr>
        <w:jc w:val="center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D83E4F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D83E4F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="000232D9">
        <w:rPr>
          <w:rFonts w:ascii="Verdana" w:hAnsi="Verdana" w:cs="Arial"/>
          <w:sz w:val="14"/>
          <w:lang w:val="es-MX"/>
        </w:rPr>
        <w:t>:05</w:t>
      </w:r>
    </w:p>
    <w:p w14:paraId="047646CC" w14:textId="68CC532A" w:rsidR="00C074DA" w:rsidRPr="007A7938" w:rsidRDefault="00841AFD" w:rsidP="00C074DA">
      <w:pPr>
        <w:jc w:val="both"/>
        <w:rPr>
          <w:rFonts w:ascii="Verdana" w:hAnsi="Verdana" w:cs="Arial"/>
          <w:lang w:val="es-MX"/>
        </w:rPr>
      </w:pPr>
      <w:bookmarkStart w:id="0" w:name="_GoBack"/>
      <w:bookmarkEnd w:id="0"/>
      <w:r w:rsidRPr="007A7938">
        <w:rPr>
          <w:rFonts w:ascii="Verdana" w:hAnsi="Verdana" w:cs="Arial"/>
          <w:lang w:val="es-MX"/>
        </w:rPr>
        <w:lastRenderedPageBreak/>
        <w:t xml:space="preserve">El cuadro No. 2 detalla </w:t>
      </w:r>
      <w:r w:rsidR="00C074DA" w:rsidRPr="007A7938">
        <w:rPr>
          <w:rFonts w:ascii="Verdana" w:hAnsi="Verdana" w:cs="Arial"/>
          <w:lang w:val="es-MX"/>
        </w:rPr>
        <w:t>el comportamiento del uso de las cuotas</w:t>
      </w:r>
      <w:r w:rsidRPr="007A7938">
        <w:rPr>
          <w:rFonts w:ascii="Verdana" w:hAnsi="Verdana" w:cs="Arial"/>
          <w:lang w:val="es-MX"/>
        </w:rPr>
        <w:t xml:space="preserve"> financieras</w:t>
      </w:r>
      <w:r w:rsidR="00C074DA" w:rsidRPr="007A7938">
        <w:rPr>
          <w:rFonts w:ascii="Verdana" w:hAnsi="Verdana" w:cs="Arial"/>
          <w:lang w:val="es-MX"/>
        </w:rPr>
        <w:t xml:space="preserve"> por las distintas fuentes de financiamiento:</w:t>
      </w:r>
    </w:p>
    <w:p w14:paraId="4886BE13" w14:textId="64832B77" w:rsidR="00C074DA" w:rsidRPr="007A7938" w:rsidRDefault="00C074DA" w:rsidP="00C074DA">
      <w:pPr>
        <w:rPr>
          <w:rFonts w:ascii="Verdana" w:hAnsi="Verdana" w:cs="Arial"/>
          <w:b/>
          <w:lang w:val="es-MX"/>
        </w:rPr>
      </w:pPr>
    </w:p>
    <w:p w14:paraId="182D2065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77777777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EBA7DA" w14:textId="32935BCB" w:rsidR="00841AFD" w:rsidRPr="007A7938" w:rsidRDefault="00841AFD" w:rsidP="00C074DA">
      <w:pPr>
        <w:rPr>
          <w:rFonts w:ascii="Verdana" w:hAnsi="Verdana" w:cs="Arial"/>
          <w:b/>
          <w:lang w:val="es-MX"/>
        </w:rPr>
      </w:pPr>
    </w:p>
    <w:p w14:paraId="73993456" w14:textId="53CA23A7" w:rsidR="00C074DA" w:rsidRPr="00897281" w:rsidRDefault="00445B7C" w:rsidP="00897281">
      <w:pPr>
        <w:rPr>
          <w:rFonts w:ascii="Verdana" w:hAnsi="Verdana" w:cs="Arial"/>
          <w:lang w:val="es-MX"/>
        </w:rPr>
      </w:pPr>
      <w:r w:rsidRPr="00445B7C">
        <w:rPr>
          <w:noProof/>
          <w:lang w:eastAsia="es-GT"/>
        </w:rPr>
        <w:drawing>
          <wp:inline distT="0" distB="0" distL="0" distR="0" wp14:anchorId="190B768B" wp14:editId="2E5B6AF0">
            <wp:extent cx="6600825" cy="46958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93" cy="46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EDC3" w14:textId="08CDA6BE" w:rsidR="00C074DA" w:rsidRPr="007A7938" w:rsidRDefault="0080698C" w:rsidP="00903A23">
      <w:pPr>
        <w:jc w:val="center"/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9F410C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1</w:t>
      </w:r>
      <w:r w:rsidR="009F410C"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 xml:space="preserve">/2024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956ABF">
      <w:headerReference w:type="default" r:id="rId10"/>
      <w:footerReference w:type="default" r:id="rId11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3201" w14:textId="77777777" w:rsidR="00B77F3B" w:rsidRDefault="00B77F3B" w:rsidP="00950217">
      <w:r>
        <w:separator/>
      </w:r>
    </w:p>
  </w:endnote>
  <w:endnote w:type="continuationSeparator" w:id="0">
    <w:p w14:paraId="0D1E349C" w14:textId="77777777" w:rsidR="00B77F3B" w:rsidRDefault="00B77F3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7654B" w14:textId="77777777" w:rsidR="00B77F3B" w:rsidRDefault="00B77F3B" w:rsidP="00950217">
      <w:r>
        <w:separator/>
      </w:r>
    </w:p>
  </w:footnote>
  <w:footnote w:type="continuationSeparator" w:id="0">
    <w:p w14:paraId="02CD06F6" w14:textId="77777777" w:rsidR="00B77F3B" w:rsidRDefault="00B77F3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232D9"/>
    <w:rsid w:val="00040280"/>
    <w:rsid w:val="0004605A"/>
    <w:rsid w:val="00062442"/>
    <w:rsid w:val="0011015F"/>
    <w:rsid w:val="001146AC"/>
    <w:rsid w:val="00133ED3"/>
    <w:rsid w:val="00151A3C"/>
    <w:rsid w:val="00152E19"/>
    <w:rsid w:val="00183A5B"/>
    <w:rsid w:val="001A5DDC"/>
    <w:rsid w:val="001C6518"/>
    <w:rsid w:val="001C6E51"/>
    <w:rsid w:val="001F7927"/>
    <w:rsid w:val="0022366D"/>
    <w:rsid w:val="002457A1"/>
    <w:rsid w:val="00255770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5A1E"/>
    <w:rsid w:val="003551CE"/>
    <w:rsid w:val="0036085B"/>
    <w:rsid w:val="00371125"/>
    <w:rsid w:val="0037225F"/>
    <w:rsid w:val="0037642B"/>
    <w:rsid w:val="00386537"/>
    <w:rsid w:val="003959C8"/>
    <w:rsid w:val="003A56EF"/>
    <w:rsid w:val="004046B0"/>
    <w:rsid w:val="00415F12"/>
    <w:rsid w:val="00445B7C"/>
    <w:rsid w:val="004519CB"/>
    <w:rsid w:val="004B5560"/>
    <w:rsid w:val="00502924"/>
    <w:rsid w:val="00507D19"/>
    <w:rsid w:val="005929CC"/>
    <w:rsid w:val="005C4EEB"/>
    <w:rsid w:val="005F4542"/>
    <w:rsid w:val="00605851"/>
    <w:rsid w:val="006218DF"/>
    <w:rsid w:val="00675EF5"/>
    <w:rsid w:val="00692896"/>
    <w:rsid w:val="00692DB5"/>
    <w:rsid w:val="006D5148"/>
    <w:rsid w:val="006E1C78"/>
    <w:rsid w:val="006E32FB"/>
    <w:rsid w:val="006E37F0"/>
    <w:rsid w:val="00733A93"/>
    <w:rsid w:val="007457F7"/>
    <w:rsid w:val="00750F41"/>
    <w:rsid w:val="007A7938"/>
    <w:rsid w:val="0080698C"/>
    <w:rsid w:val="008220D6"/>
    <w:rsid w:val="00841AFD"/>
    <w:rsid w:val="00860F57"/>
    <w:rsid w:val="00870270"/>
    <w:rsid w:val="00891D77"/>
    <w:rsid w:val="00897281"/>
    <w:rsid w:val="008973EC"/>
    <w:rsid w:val="008A5225"/>
    <w:rsid w:val="008A7D83"/>
    <w:rsid w:val="008C2ACD"/>
    <w:rsid w:val="008C544D"/>
    <w:rsid w:val="008D539A"/>
    <w:rsid w:val="008E47E2"/>
    <w:rsid w:val="008F0457"/>
    <w:rsid w:val="00900379"/>
    <w:rsid w:val="00903A23"/>
    <w:rsid w:val="0091630D"/>
    <w:rsid w:val="00923243"/>
    <w:rsid w:val="00934D2B"/>
    <w:rsid w:val="00950217"/>
    <w:rsid w:val="00956ABF"/>
    <w:rsid w:val="00974A35"/>
    <w:rsid w:val="009903A6"/>
    <w:rsid w:val="009A4BF3"/>
    <w:rsid w:val="009E3244"/>
    <w:rsid w:val="009F410C"/>
    <w:rsid w:val="00A07044"/>
    <w:rsid w:val="00A34B00"/>
    <w:rsid w:val="00A5200F"/>
    <w:rsid w:val="00A9053F"/>
    <w:rsid w:val="00AC6BD7"/>
    <w:rsid w:val="00B77F3B"/>
    <w:rsid w:val="00B90C8D"/>
    <w:rsid w:val="00BA3499"/>
    <w:rsid w:val="00BB35A3"/>
    <w:rsid w:val="00BC188A"/>
    <w:rsid w:val="00BC3FAA"/>
    <w:rsid w:val="00BC5A55"/>
    <w:rsid w:val="00BE4C5C"/>
    <w:rsid w:val="00BE6DE5"/>
    <w:rsid w:val="00BF2E35"/>
    <w:rsid w:val="00C074DA"/>
    <w:rsid w:val="00C07E0B"/>
    <w:rsid w:val="00C511F4"/>
    <w:rsid w:val="00CA1ED9"/>
    <w:rsid w:val="00CE20BF"/>
    <w:rsid w:val="00CE67C0"/>
    <w:rsid w:val="00CF72F1"/>
    <w:rsid w:val="00D32EBE"/>
    <w:rsid w:val="00D44B9E"/>
    <w:rsid w:val="00D83E4F"/>
    <w:rsid w:val="00DB4BFF"/>
    <w:rsid w:val="00DC2D2A"/>
    <w:rsid w:val="00E00C3C"/>
    <w:rsid w:val="00E301A8"/>
    <w:rsid w:val="00E336ED"/>
    <w:rsid w:val="00E44D72"/>
    <w:rsid w:val="00E4566E"/>
    <w:rsid w:val="00E46A98"/>
    <w:rsid w:val="00EB2464"/>
    <w:rsid w:val="00EC4E00"/>
    <w:rsid w:val="00ED2FA1"/>
    <w:rsid w:val="00EE040F"/>
    <w:rsid w:val="00F4256A"/>
    <w:rsid w:val="00F6441D"/>
    <w:rsid w:val="00F86753"/>
    <w:rsid w:val="00FB65CA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fgarciae\Desktop\Mineco\Direcci&#243;n%20Financiera\Informes%20Mensuales\Presupuesto%20por%20Dependencias%20al%2031%20de%20octu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166217472495863E-2"/>
          <c:y val="2.9643379744213917E-2"/>
          <c:w val="0.96895621437367274"/>
          <c:h val="0.9407132405115721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76000"/>
                  <a:alpha val="90000"/>
                </a:schemeClr>
              </a:solidFill>
              <a:ln w="19050">
                <a:solidFill>
                  <a:schemeClr val="accent1">
                    <a:shade val="76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shade val="76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shade val="76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72-4ED5-B43D-953732CE2856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  <a:alpha val="90000"/>
                </a:schemeClr>
              </a:solidFill>
              <a:ln w="19050">
                <a:solidFill>
                  <a:schemeClr val="accent1">
                    <a:tint val="77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tint val="77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tint val="77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72-4ED5-B43D-953732CE2856}"/>
              </c:ext>
            </c:extLst>
          </c:dPt>
          <c:dLbls>
            <c:dLbl>
              <c:idx val="0"/>
              <c:layout>
                <c:manualLayout>
                  <c:x val="-4.2975137085919289E-2"/>
                  <c:y val="-0.134751122926024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0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15D3E531-44D1-485D-A4E3-86B4B4435C44}" type="CATEGORYNAME">
                      <a:rPr lang="en-US" sz="10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526B43EC-FAEB-483B-B71F-ED95532A5B75}" type="VALUE"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61.42%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shade val="76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shade val="76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937946037381318"/>
                      <c:h val="0.20460283393878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272-4ED5-B43D-953732CE2856}"/>
                </c:ext>
              </c:extLst>
            </c:dLbl>
            <c:dLbl>
              <c:idx val="1"/>
              <c:layout>
                <c:manualLayout>
                  <c:x val="3.816941106958527E-3"/>
                  <c:y val="9.743900466662151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0" i="0" u="none" strike="noStrike" kern="1200" baseline="0">
                        <a:solidFill>
                          <a:srgbClr val="0070C0"/>
                        </a:solidFill>
                        <a:effectLst/>
                        <a:latin typeface="Verdana" panose="020B0604030504040204" pitchFamily="34" charset="0"/>
                        <a:ea typeface="Verdana" panose="020B0604030504040204" pitchFamily="34" charset="0"/>
                        <a:cs typeface="+mn-cs"/>
                      </a:defRPr>
                    </a:pPr>
                    <a:fld id="{4A224579-3369-41A1-B763-078FA48B0A1A}" type="CATEGORYNAME">
                      <a:rPr lang="en-US" sz="10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[NOMBRE DE CATEGORÍA]</a:t>
                    </a:fld>
                    <a:r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  <a:fld id="{18549C62-ACF6-45F7-B094-22DBE940B66E}" type="VALUE"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pPr>
                        <a:defRPr sz="1600">
                          <a:solidFill>
                            <a:srgbClr val="0070C0"/>
                          </a:solidFill>
                          <a:latin typeface="Verdana" panose="020B0604030504040204" pitchFamily="34" charset="0"/>
                          <a:ea typeface="Verdana" panose="020B0604030504040204" pitchFamily="34" charset="0"/>
                        </a:defRPr>
                      </a:pPr>
                      <a:t>[VALOR]</a:t>
                    </a:fld>
                    <a:r>
                      <a:rPr lang="en-US" sz="1000" baseline="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rPr>
                      <a:t>; </a:t>
                    </a:r>
                  </a:p>
                  <a:p>
                    <a:pPr>
                      <a:defRPr sz="1600">
                        <a:solidFill>
                          <a:srgbClr val="0070C0"/>
                        </a:solidFill>
                        <a:latin typeface="Verdana" panose="020B0604030504040204" pitchFamily="34" charset="0"/>
                        <a:ea typeface="Verdana" panose="020B0604030504040204" pitchFamily="34" charset="0"/>
                      </a:defRPr>
                    </a:pPr>
                    <a:r>
                      <a:rPr lang="en-US" sz="1000"/>
                      <a:t>38.58%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tint val="77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tint val="77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rgbClr val="0070C0"/>
                      </a:solidFill>
                      <a:effectLst/>
                      <a:latin typeface="Verdana" panose="020B0604030504040204" pitchFamily="34" charset="0"/>
                      <a:ea typeface="Verdana" panose="020B0604030504040204" pitchFamily="34" charset="0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0962452686161319"/>
                      <c:h val="0.206988028912586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272-4ED5-B43D-953732CE285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rgbClr val="0070C0"/>
                    </a:solidFill>
                    <a:effectLst/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'Asuntos Registrales'!$H$3:$I$3</c:f>
              <c:strCache>
                <c:ptCount val="2"/>
                <c:pt idx="0">
                  <c:v>Devengado </c:v>
                </c:pt>
                <c:pt idx="1">
                  <c:v>Saldo por devengar </c:v>
                </c:pt>
              </c:strCache>
            </c:strRef>
          </c:cat>
          <c:val>
            <c:numRef>
              <c:f>'Asuntos Registrales'!$H$38:$I$38</c:f>
              <c:numCache>
                <c:formatCode>"Q"#,##0.00_);\("Q"#,##0.00\)</c:formatCode>
                <c:ptCount val="2"/>
                <c:pt idx="0">
                  <c:v>47149612.830000006</c:v>
                </c:pt>
                <c:pt idx="1">
                  <c:v>29618293.170000002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72-4ED5-B43D-953732CE285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José Fernando García Estrada</cp:lastModifiedBy>
  <cp:revision>8</cp:revision>
  <cp:lastPrinted>2024-05-10T00:55:00Z</cp:lastPrinted>
  <dcterms:created xsi:type="dcterms:W3CDTF">2024-11-06T16:37:00Z</dcterms:created>
  <dcterms:modified xsi:type="dcterms:W3CDTF">2024-11-06T22:40:00Z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