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BB56A" w14:textId="386E9EE4" w:rsidR="003C58C1" w:rsidRDefault="003C58C1" w:rsidP="003C58C1">
      <w:pPr>
        <w:rPr>
          <w:rFonts w:ascii="Verdana" w:hAnsi="Verdana"/>
          <w:sz w:val="48"/>
          <w:szCs w:val="40"/>
        </w:rPr>
      </w:pPr>
      <w:bookmarkStart w:id="0" w:name="_GoBack"/>
      <w:bookmarkEnd w:id="0"/>
    </w:p>
    <w:p w14:paraId="06D26461" w14:textId="77777777" w:rsidR="00126335" w:rsidRDefault="00126335" w:rsidP="003C58C1">
      <w:pPr>
        <w:rPr>
          <w:rFonts w:ascii="Verdana" w:hAnsi="Verdana"/>
          <w:sz w:val="48"/>
          <w:szCs w:val="40"/>
        </w:rPr>
      </w:pPr>
    </w:p>
    <w:p w14:paraId="25406522" w14:textId="3274964E" w:rsidR="0092591C" w:rsidRDefault="0092591C" w:rsidP="003C58C1">
      <w:pPr>
        <w:rPr>
          <w:rFonts w:ascii="Verdana" w:hAnsi="Verdana"/>
          <w:sz w:val="48"/>
          <w:szCs w:val="40"/>
        </w:rPr>
      </w:pPr>
    </w:p>
    <w:p w14:paraId="4695C6ED" w14:textId="77777777" w:rsidR="003C58C1" w:rsidRPr="00FD0B92" w:rsidRDefault="003C58C1" w:rsidP="003C58C1">
      <w:pPr>
        <w:pStyle w:val="NormalWeb"/>
        <w:spacing w:before="0" w:beforeAutospacing="0" w:after="0" w:afterAutospacing="0"/>
        <w:jc w:val="center"/>
        <w:rPr>
          <w:rFonts w:ascii="Verdana" w:hAnsi="Verdana" w:cs="Arial"/>
          <w:b/>
          <w:color w:val="002060"/>
          <w:sz w:val="48"/>
          <w:szCs w:val="40"/>
        </w:rPr>
      </w:pPr>
      <w:r w:rsidRPr="00FD0B92">
        <w:rPr>
          <w:rFonts w:ascii="Verdana" w:hAnsi="Verdana" w:cs="Arial"/>
          <w:b/>
          <w:color w:val="002060"/>
          <w:sz w:val="48"/>
          <w:szCs w:val="40"/>
        </w:rPr>
        <w:t xml:space="preserve">Informe de Ejecución Presupuestaria </w:t>
      </w:r>
    </w:p>
    <w:p w14:paraId="7F65A857" w14:textId="77777777" w:rsidR="00232AE0" w:rsidRPr="00FD0B92" w:rsidRDefault="00232AE0" w:rsidP="003C58C1">
      <w:pPr>
        <w:pStyle w:val="NormalWeb"/>
        <w:spacing w:before="0" w:beforeAutospacing="0" w:after="0" w:afterAutospacing="0"/>
        <w:jc w:val="center"/>
        <w:rPr>
          <w:rFonts w:ascii="Verdana" w:hAnsi="Verdana" w:cs="Arial"/>
          <w:b/>
          <w:color w:val="002060"/>
          <w:sz w:val="48"/>
          <w:szCs w:val="40"/>
        </w:rPr>
      </w:pPr>
      <w:r w:rsidRPr="00FD0B92">
        <w:rPr>
          <w:rFonts w:ascii="Verdana" w:hAnsi="Verdana" w:cs="Arial"/>
          <w:b/>
          <w:color w:val="002060"/>
          <w:sz w:val="48"/>
          <w:szCs w:val="40"/>
        </w:rPr>
        <w:t>Viceministerio</w:t>
      </w:r>
    </w:p>
    <w:p w14:paraId="7AFD3CC3" w14:textId="39C7E6DD" w:rsidR="003C58C1" w:rsidRPr="00FD0B92" w:rsidRDefault="00232AE0" w:rsidP="003C58C1">
      <w:pPr>
        <w:pStyle w:val="NormalWeb"/>
        <w:spacing w:before="0" w:beforeAutospacing="0" w:after="0" w:afterAutospacing="0"/>
        <w:jc w:val="center"/>
        <w:rPr>
          <w:rFonts w:ascii="Verdana" w:hAnsi="Verdana" w:cs="Arial"/>
          <w:b/>
          <w:color w:val="002060"/>
          <w:sz w:val="48"/>
          <w:szCs w:val="40"/>
        </w:rPr>
      </w:pPr>
      <w:r w:rsidRPr="00FD0B92">
        <w:rPr>
          <w:rFonts w:ascii="Verdana" w:hAnsi="Verdana" w:cs="Arial"/>
          <w:b/>
          <w:color w:val="002060"/>
          <w:sz w:val="48"/>
          <w:szCs w:val="40"/>
        </w:rPr>
        <w:t xml:space="preserve"> Administrativo y Financiero</w:t>
      </w:r>
      <w:r w:rsidR="003C58C1" w:rsidRPr="00FD0B92">
        <w:rPr>
          <w:rFonts w:ascii="Verdana" w:hAnsi="Verdana" w:cs="Arial"/>
          <w:b/>
          <w:color w:val="002060"/>
          <w:sz w:val="48"/>
          <w:szCs w:val="40"/>
        </w:rPr>
        <w:t xml:space="preserve"> </w:t>
      </w:r>
    </w:p>
    <w:p w14:paraId="6010F215" w14:textId="4871D98A" w:rsidR="003C58C1" w:rsidRPr="00FD0B92" w:rsidRDefault="003A2CD5" w:rsidP="003C58C1">
      <w:pPr>
        <w:pStyle w:val="NormalWeb"/>
        <w:spacing w:before="0" w:beforeAutospacing="0" w:after="0" w:afterAutospacing="0"/>
        <w:jc w:val="center"/>
        <w:rPr>
          <w:rFonts w:ascii="Verdana" w:hAnsi="Verdana" w:cs="Arial"/>
          <w:b/>
          <w:color w:val="002060"/>
          <w:sz w:val="48"/>
          <w:szCs w:val="40"/>
        </w:rPr>
      </w:pPr>
      <w:r>
        <w:rPr>
          <w:rFonts w:ascii="Verdana" w:hAnsi="Verdana" w:cs="Arial"/>
          <w:b/>
          <w:color w:val="002060"/>
          <w:sz w:val="48"/>
          <w:szCs w:val="40"/>
        </w:rPr>
        <w:t xml:space="preserve">a </w:t>
      </w:r>
      <w:r w:rsidR="00856120">
        <w:rPr>
          <w:rFonts w:ascii="Verdana" w:hAnsi="Verdana" w:cs="Arial"/>
          <w:b/>
          <w:color w:val="002060"/>
          <w:sz w:val="48"/>
          <w:szCs w:val="40"/>
        </w:rPr>
        <w:t>noviembre</w:t>
      </w:r>
      <w:r w:rsidR="003C58C1" w:rsidRPr="00FD0B92">
        <w:rPr>
          <w:rFonts w:ascii="Verdana" w:hAnsi="Verdana" w:cs="Arial"/>
          <w:b/>
          <w:color w:val="002060"/>
          <w:sz w:val="48"/>
          <w:szCs w:val="40"/>
        </w:rPr>
        <w:t xml:space="preserve"> de 2024</w:t>
      </w:r>
    </w:p>
    <w:p w14:paraId="0524098B" w14:textId="77777777" w:rsidR="003C58C1" w:rsidRPr="00FD0B92" w:rsidRDefault="003C58C1" w:rsidP="003C58C1">
      <w:pPr>
        <w:pStyle w:val="NormalWeb"/>
        <w:spacing w:before="0" w:beforeAutospacing="0" w:after="0" w:afterAutospacing="0"/>
        <w:jc w:val="center"/>
        <w:rPr>
          <w:rFonts w:ascii="Verdana" w:hAnsi="Verdana" w:cs="Arial"/>
          <w:b/>
          <w:color w:val="002060"/>
          <w:sz w:val="48"/>
          <w:szCs w:val="40"/>
        </w:rPr>
      </w:pPr>
    </w:p>
    <w:p w14:paraId="0C0F9713" w14:textId="77777777" w:rsidR="003C58C1" w:rsidRPr="00FD0B92" w:rsidRDefault="003C58C1" w:rsidP="003C58C1">
      <w:pPr>
        <w:pStyle w:val="NormalWeb"/>
        <w:spacing w:before="0" w:beforeAutospacing="0" w:after="0" w:afterAutospacing="0"/>
        <w:jc w:val="center"/>
        <w:rPr>
          <w:rFonts w:ascii="Verdana" w:hAnsi="Verdana" w:cs="Arial"/>
          <w:b/>
          <w:color w:val="002060"/>
          <w:sz w:val="48"/>
          <w:szCs w:val="40"/>
        </w:rPr>
      </w:pPr>
    </w:p>
    <w:p w14:paraId="4CDD0C79" w14:textId="77777777" w:rsidR="00232AE0" w:rsidRPr="00FD0B92" w:rsidRDefault="00232AE0" w:rsidP="003C58C1">
      <w:pPr>
        <w:pStyle w:val="NormalWeb"/>
        <w:spacing w:before="0" w:beforeAutospacing="0" w:after="0" w:afterAutospacing="0"/>
        <w:jc w:val="center"/>
        <w:rPr>
          <w:rFonts w:ascii="Verdana" w:hAnsi="Verdana" w:cs="Arial"/>
          <w:b/>
          <w:color w:val="002060"/>
          <w:sz w:val="48"/>
          <w:szCs w:val="40"/>
        </w:rPr>
      </w:pPr>
    </w:p>
    <w:p w14:paraId="0013C3B0" w14:textId="77777777" w:rsidR="003C58C1" w:rsidRPr="00FD0B92" w:rsidRDefault="003C58C1" w:rsidP="003C58C1">
      <w:pPr>
        <w:pStyle w:val="NormalWeb"/>
        <w:spacing w:before="0" w:beforeAutospacing="0" w:after="0" w:afterAutospacing="0"/>
        <w:jc w:val="center"/>
        <w:rPr>
          <w:rFonts w:ascii="Verdana" w:hAnsi="Verdana" w:cs="Arial"/>
          <w:b/>
          <w:color w:val="002060"/>
          <w:sz w:val="48"/>
          <w:szCs w:val="40"/>
        </w:rPr>
      </w:pPr>
    </w:p>
    <w:p w14:paraId="691190E0" w14:textId="77777777" w:rsidR="003C58C1" w:rsidRPr="00FD0B92" w:rsidRDefault="003C58C1" w:rsidP="003C58C1">
      <w:pPr>
        <w:pStyle w:val="NormalWeb"/>
        <w:spacing w:before="0" w:beforeAutospacing="0" w:after="0" w:afterAutospacing="0"/>
        <w:jc w:val="center"/>
        <w:rPr>
          <w:rFonts w:ascii="Verdana" w:hAnsi="Verdana" w:cs="Arial"/>
          <w:color w:val="000000" w:themeColor="text1"/>
          <w:sz w:val="48"/>
          <w:szCs w:val="40"/>
        </w:rPr>
      </w:pPr>
      <w:r w:rsidRPr="00FD0B92">
        <w:rPr>
          <w:rFonts w:ascii="Verdana" w:hAnsi="Verdana" w:cs="Arial"/>
          <w:b/>
          <w:color w:val="002060"/>
          <w:sz w:val="48"/>
          <w:szCs w:val="40"/>
        </w:rPr>
        <w:t>Dirección Financiera</w:t>
      </w:r>
    </w:p>
    <w:p w14:paraId="7D180F55" w14:textId="252DCDBE" w:rsidR="00126335" w:rsidRDefault="00126335" w:rsidP="00126335">
      <w:pPr>
        <w:rPr>
          <w:rFonts w:ascii="Verdana" w:hAnsi="Verdana" w:cs="Arial"/>
          <w:b/>
          <w:lang w:val="es-MX"/>
        </w:rPr>
      </w:pPr>
    </w:p>
    <w:p w14:paraId="693AA6D8" w14:textId="0A1FAED9" w:rsidR="00126335" w:rsidRDefault="00126335" w:rsidP="00126335">
      <w:pPr>
        <w:rPr>
          <w:rFonts w:ascii="Verdana" w:hAnsi="Verdana" w:cs="Arial"/>
          <w:b/>
          <w:lang w:val="es-MX"/>
        </w:rPr>
      </w:pPr>
    </w:p>
    <w:p w14:paraId="7C837067" w14:textId="597C1AC0" w:rsidR="00126335" w:rsidRDefault="00126335" w:rsidP="00126335">
      <w:pPr>
        <w:rPr>
          <w:rFonts w:ascii="Verdana" w:hAnsi="Verdana" w:cs="Arial"/>
          <w:b/>
          <w:lang w:val="es-MX"/>
        </w:rPr>
      </w:pPr>
    </w:p>
    <w:p w14:paraId="091B10FE" w14:textId="6E67A08F" w:rsidR="00126335" w:rsidRDefault="00126335" w:rsidP="00126335">
      <w:pPr>
        <w:rPr>
          <w:rFonts w:ascii="Verdana" w:hAnsi="Verdana" w:cs="Arial"/>
          <w:b/>
          <w:lang w:val="es-MX"/>
        </w:rPr>
      </w:pPr>
    </w:p>
    <w:p w14:paraId="1887884F" w14:textId="22850A01" w:rsidR="00126335" w:rsidRDefault="00126335" w:rsidP="00126335">
      <w:pPr>
        <w:rPr>
          <w:rFonts w:ascii="Verdana" w:hAnsi="Verdana" w:cs="Arial"/>
          <w:b/>
          <w:lang w:val="es-MX"/>
        </w:rPr>
      </w:pPr>
    </w:p>
    <w:p w14:paraId="64DD90E4" w14:textId="230C7470" w:rsidR="00126335" w:rsidRDefault="00126335" w:rsidP="00126335">
      <w:pPr>
        <w:rPr>
          <w:rFonts w:ascii="Verdana" w:hAnsi="Verdana" w:cs="Arial"/>
          <w:b/>
          <w:lang w:val="es-MX"/>
        </w:rPr>
      </w:pPr>
    </w:p>
    <w:p w14:paraId="2FDBBEF6" w14:textId="1C39A7C7" w:rsidR="00126335" w:rsidRDefault="00126335" w:rsidP="00126335">
      <w:pPr>
        <w:rPr>
          <w:rFonts w:ascii="Verdana" w:hAnsi="Verdana" w:cs="Arial"/>
          <w:b/>
          <w:lang w:val="es-MX"/>
        </w:rPr>
      </w:pPr>
    </w:p>
    <w:p w14:paraId="6AE650E9" w14:textId="20BAEFC2" w:rsidR="00126335" w:rsidRDefault="00126335" w:rsidP="00126335">
      <w:pPr>
        <w:rPr>
          <w:rFonts w:ascii="Verdana" w:hAnsi="Verdana" w:cs="Arial"/>
          <w:b/>
          <w:lang w:val="es-MX"/>
        </w:rPr>
      </w:pPr>
    </w:p>
    <w:p w14:paraId="3E8CBBB8" w14:textId="380A5E4E" w:rsidR="00126335" w:rsidRDefault="00126335" w:rsidP="00126335">
      <w:pPr>
        <w:rPr>
          <w:rFonts w:ascii="Verdana" w:hAnsi="Verdana" w:cs="Arial"/>
          <w:b/>
          <w:lang w:val="es-MX"/>
        </w:rPr>
      </w:pPr>
    </w:p>
    <w:p w14:paraId="00D0B5B9" w14:textId="61D83673" w:rsidR="00126335" w:rsidRDefault="00126335" w:rsidP="00126335">
      <w:pPr>
        <w:rPr>
          <w:rFonts w:ascii="Verdana" w:hAnsi="Verdana" w:cs="Arial"/>
          <w:b/>
          <w:lang w:val="es-MX"/>
        </w:rPr>
      </w:pPr>
    </w:p>
    <w:p w14:paraId="3EADB51E" w14:textId="290A0EF3" w:rsidR="00126335" w:rsidRDefault="00126335" w:rsidP="00126335">
      <w:pPr>
        <w:rPr>
          <w:rFonts w:ascii="Verdana" w:hAnsi="Verdana" w:cs="Arial"/>
          <w:b/>
          <w:lang w:val="es-MX"/>
        </w:rPr>
      </w:pPr>
    </w:p>
    <w:p w14:paraId="01EC4BF6" w14:textId="612ABB03" w:rsidR="00126335" w:rsidRDefault="00126335" w:rsidP="00126335">
      <w:pPr>
        <w:rPr>
          <w:rFonts w:ascii="Verdana" w:hAnsi="Verdana" w:cs="Arial"/>
          <w:b/>
          <w:lang w:val="es-MX"/>
        </w:rPr>
      </w:pPr>
    </w:p>
    <w:p w14:paraId="3F554719" w14:textId="45954EDE" w:rsidR="00126335" w:rsidRDefault="00126335" w:rsidP="00126335">
      <w:pPr>
        <w:rPr>
          <w:rFonts w:ascii="Verdana" w:hAnsi="Verdana" w:cs="Arial"/>
          <w:b/>
          <w:lang w:val="es-MX"/>
        </w:rPr>
      </w:pPr>
    </w:p>
    <w:p w14:paraId="0BFF6AC0" w14:textId="60AF01E5" w:rsidR="00126335" w:rsidRDefault="00126335" w:rsidP="00126335">
      <w:pPr>
        <w:rPr>
          <w:rFonts w:ascii="Verdana" w:hAnsi="Verdana" w:cs="Arial"/>
          <w:b/>
          <w:lang w:val="es-MX"/>
        </w:rPr>
      </w:pPr>
    </w:p>
    <w:p w14:paraId="472CFDF9" w14:textId="45B2F2C3" w:rsidR="003C58C1" w:rsidRPr="0010018F" w:rsidRDefault="003C58C1" w:rsidP="003C58C1">
      <w:pPr>
        <w:jc w:val="center"/>
        <w:rPr>
          <w:rFonts w:ascii="Verdana" w:hAnsi="Verdana" w:cs="Arial"/>
          <w:b/>
          <w:lang w:val="es-MX"/>
        </w:rPr>
      </w:pPr>
      <w:r w:rsidRPr="0010018F">
        <w:rPr>
          <w:rFonts w:ascii="Verdana" w:hAnsi="Verdana" w:cs="Arial"/>
          <w:b/>
          <w:lang w:val="es-MX"/>
        </w:rPr>
        <w:lastRenderedPageBreak/>
        <w:t>INFORME DE EJECUCIÓN PRESUPUESTARIA</w:t>
      </w:r>
    </w:p>
    <w:p w14:paraId="241806C9" w14:textId="32EFE63B" w:rsidR="003C58C1" w:rsidRPr="0010018F" w:rsidRDefault="003C58C1" w:rsidP="003C58C1">
      <w:pPr>
        <w:jc w:val="center"/>
        <w:rPr>
          <w:rFonts w:ascii="Verdana" w:hAnsi="Verdana" w:cs="Arial"/>
          <w:b/>
          <w:lang w:val="es-MX"/>
        </w:rPr>
      </w:pPr>
      <w:r w:rsidRPr="0010018F">
        <w:rPr>
          <w:rFonts w:ascii="Verdana" w:hAnsi="Verdana" w:cs="Arial"/>
          <w:b/>
          <w:lang w:val="es-MX"/>
        </w:rPr>
        <w:t xml:space="preserve">DEL </w:t>
      </w:r>
      <w:r w:rsidR="00A0775C" w:rsidRPr="0010018F">
        <w:rPr>
          <w:rFonts w:ascii="Verdana" w:hAnsi="Verdana" w:cs="Arial"/>
          <w:b/>
          <w:lang w:val="es-MX"/>
        </w:rPr>
        <w:t>VICEMINISTERIO ADMINISTRATIVO Y FINANCIERO</w:t>
      </w:r>
    </w:p>
    <w:p w14:paraId="48C911E1" w14:textId="064218ED" w:rsidR="003C58C1" w:rsidRPr="0010018F" w:rsidRDefault="00DC25B7" w:rsidP="003C58C1">
      <w:pPr>
        <w:jc w:val="center"/>
        <w:rPr>
          <w:rFonts w:ascii="Verdana" w:hAnsi="Verdana" w:cs="Arial"/>
          <w:b/>
          <w:lang w:val="es-MX"/>
        </w:rPr>
      </w:pPr>
      <w:r>
        <w:rPr>
          <w:rFonts w:ascii="Verdana" w:hAnsi="Verdana" w:cs="Arial"/>
          <w:b/>
          <w:lang w:val="es-MX"/>
        </w:rPr>
        <w:t xml:space="preserve">A </w:t>
      </w:r>
      <w:r w:rsidR="00855705">
        <w:rPr>
          <w:rFonts w:ascii="Verdana" w:hAnsi="Verdana" w:cs="Arial"/>
          <w:b/>
          <w:lang w:val="es-MX"/>
        </w:rPr>
        <w:t>NOVIEMBRE</w:t>
      </w:r>
      <w:r w:rsidR="0010018F">
        <w:rPr>
          <w:rFonts w:ascii="Verdana" w:hAnsi="Verdana" w:cs="Arial"/>
          <w:b/>
          <w:lang w:val="es-MX"/>
        </w:rPr>
        <w:t xml:space="preserve"> DE 2024</w:t>
      </w:r>
    </w:p>
    <w:p w14:paraId="64BFBBCE" w14:textId="77777777" w:rsidR="003C58C1" w:rsidRPr="0010018F" w:rsidRDefault="003C58C1" w:rsidP="003C58C1">
      <w:pPr>
        <w:rPr>
          <w:rFonts w:ascii="Verdana" w:hAnsi="Verdana" w:cs="Arial"/>
          <w:b/>
          <w:lang w:val="es-MX"/>
        </w:rPr>
      </w:pPr>
    </w:p>
    <w:p w14:paraId="2A94AA39" w14:textId="33F0E8A6" w:rsidR="003C58C1" w:rsidRPr="0010018F" w:rsidRDefault="003C58C1" w:rsidP="003C58C1">
      <w:pPr>
        <w:pStyle w:val="Sinespaciado"/>
        <w:jc w:val="both"/>
        <w:rPr>
          <w:rFonts w:ascii="Verdana" w:eastAsiaTheme="minorEastAsia" w:hAnsi="Verdana" w:cs="Arial"/>
          <w:sz w:val="24"/>
          <w:szCs w:val="24"/>
          <w:lang w:eastAsia="es-GT"/>
        </w:rPr>
      </w:pPr>
      <w:r w:rsidRPr="0010018F">
        <w:rPr>
          <w:rFonts w:ascii="Verdana" w:eastAsiaTheme="minorEastAsia" w:hAnsi="Verdana" w:cs="Arial"/>
          <w:sz w:val="24"/>
          <w:szCs w:val="24"/>
          <w:lang w:eastAsia="es-GT"/>
        </w:rPr>
        <w:t>El Ministerio de Economía es la entidad encargada de hacer cumplir el régimen jurídico relativo al desarrollo de las actividades productivas no agropecuarias, del comercio interno y externo, de la protección al consumidor, del fomento a la competencia, de la represión legal de la competencia desleal, de la limitación al funcionamiento de empresas monopólicas; de inversión nacional y extranjera, de promoción a la competitividad, del des</w:t>
      </w:r>
      <w:r w:rsidR="0013463A">
        <w:rPr>
          <w:rFonts w:ascii="Verdana" w:eastAsiaTheme="minorEastAsia" w:hAnsi="Verdana" w:cs="Arial"/>
          <w:sz w:val="24"/>
          <w:szCs w:val="24"/>
          <w:lang w:eastAsia="es-GT"/>
        </w:rPr>
        <w:t>arrollo industrial y comercial.</w:t>
      </w:r>
      <w:r w:rsidR="00E50B99">
        <w:rPr>
          <w:rFonts w:ascii="Verdana" w:eastAsiaTheme="minorEastAsia" w:hAnsi="Verdana" w:cs="Arial"/>
          <w:sz w:val="24"/>
          <w:szCs w:val="24"/>
          <w:lang w:eastAsia="es-GT"/>
        </w:rPr>
        <w:t xml:space="preserve"> Decreto Número 114-97 Ley del Organismo Ejecutivo.</w:t>
      </w:r>
    </w:p>
    <w:p w14:paraId="24532520" w14:textId="2B2ACD8C" w:rsidR="003C58C1" w:rsidRDefault="003C58C1" w:rsidP="003C58C1">
      <w:pPr>
        <w:pStyle w:val="Textoindependiente"/>
        <w:jc w:val="both"/>
        <w:rPr>
          <w:rFonts w:ascii="Verdana" w:eastAsia="Calibri" w:hAnsi="Verdana" w:cs="Arial"/>
          <w:szCs w:val="24"/>
          <w:lang w:val="es-MX" w:eastAsia="en-US"/>
        </w:rPr>
      </w:pPr>
    </w:p>
    <w:p w14:paraId="241C3520" w14:textId="59BA23A1" w:rsidR="00307116" w:rsidRDefault="00307116" w:rsidP="003C58C1">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 xml:space="preserve">El presupuesto para el ejercicio fiscal </w:t>
      </w:r>
      <w:r w:rsidR="000C17B4">
        <w:rPr>
          <w:rFonts w:ascii="Verdana" w:eastAsia="Calibri" w:hAnsi="Verdana" w:cs="Arial"/>
          <w:szCs w:val="24"/>
          <w:lang w:val="es-MX" w:eastAsia="en-US"/>
        </w:rPr>
        <w:t>2024 no fue aprobado, considerando lo establecido en la Constitución Política de la República de Guatemala Artículo 171 literal b), que establece que si al momento de iniciar el año fiscal, el presupuesto no hubiere sido aprobado por el Congreso, regirá de nuevo el presupuesto en vigencia en el ejercicio anterior, por lo que mediante Acuerdo Gubernativo Número 1-202</w:t>
      </w:r>
      <w:r w:rsidR="00C762CA">
        <w:rPr>
          <w:rFonts w:ascii="Verdana" w:eastAsia="Calibri" w:hAnsi="Verdana" w:cs="Arial"/>
          <w:szCs w:val="24"/>
          <w:lang w:val="es-MX" w:eastAsia="en-US"/>
        </w:rPr>
        <w:t>4, se aprobó la d</w:t>
      </w:r>
      <w:r w:rsidR="000C17B4">
        <w:rPr>
          <w:rFonts w:ascii="Verdana" w:eastAsia="Calibri" w:hAnsi="Verdana" w:cs="Arial"/>
          <w:szCs w:val="24"/>
          <w:lang w:val="es-MX" w:eastAsia="en-US"/>
        </w:rPr>
        <w:t>istribución analítica del presupuesto</w:t>
      </w:r>
      <w:r w:rsidR="00C762CA">
        <w:rPr>
          <w:rFonts w:ascii="Verdana" w:eastAsia="Calibri" w:hAnsi="Verdana" w:cs="Arial"/>
          <w:szCs w:val="24"/>
          <w:lang w:val="es-MX" w:eastAsia="en-US"/>
        </w:rPr>
        <w:t xml:space="preserve"> para el presente ejercicio fiscal</w:t>
      </w:r>
      <w:r w:rsidR="000C17B4">
        <w:rPr>
          <w:rFonts w:ascii="Verdana" w:eastAsia="Calibri" w:hAnsi="Verdana" w:cs="Arial"/>
          <w:szCs w:val="24"/>
          <w:lang w:val="es-MX" w:eastAsia="en-US"/>
        </w:rPr>
        <w:t>. Con</w:t>
      </w:r>
      <w:r w:rsidR="00C762CA">
        <w:rPr>
          <w:rFonts w:ascii="Verdana" w:eastAsia="Calibri" w:hAnsi="Verdana" w:cs="Arial"/>
          <w:szCs w:val="24"/>
          <w:lang w:val="es-MX" w:eastAsia="en-US"/>
        </w:rPr>
        <w:t xml:space="preserve">secuentemente </w:t>
      </w:r>
      <w:r w:rsidR="000C17B4">
        <w:rPr>
          <w:rFonts w:ascii="Verdana" w:eastAsia="Calibri" w:hAnsi="Verdana" w:cs="Arial"/>
          <w:szCs w:val="24"/>
          <w:lang w:val="es-MX" w:eastAsia="en-US"/>
        </w:rPr>
        <w:t xml:space="preserve">el Decreto Número 54-2022 del Congreso de la República de Guatemala Ley del Presupuesto General de Ingresos y Egresos del Estado para el </w:t>
      </w:r>
      <w:r w:rsidR="00C762CA">
        <w:rPr>
          <w:rFonts w:ascii="Verdana" w:eastAsia="Calibri" w:hAnsi="Verdana" w:cs="Arial"/>
          <w:szCs w:val="24"/>
          <w:lang w:val="es-MX" w:eastAsia="en-US"/>
        </w:rPr>
        <w:t>e</w:t>
      </w:r>
      <w:r w:rsidR="000C17B4">
        <w:rPr>
          <w:rFonts w:ascii="Verdana" w:eastAsia="Calibri" w:hAnsi="Verdana" w:cs="Arial"/>
          <w:szCs w:val="24"/>
          <w:lang w:val="es-MX" w:eastAsia="en-US"/>
        </w:rPr>
        <w:t xml:space="preserve">jercicio </w:t>
      </w:r>
      <w:r w:rsidR="00C762CA">
        <w:rPr>
          <w:rFonts w:ascii="Verdana" w:eastAsia="Calibri" w:hAnsi="Verdana" w:cs="Arial"/>
          <w:szCs w:val="24"/>
          <w:lang w:val="es-MX" w:eastAsia="en-US"/>
        </w:rPr>
        <w:t>f</w:t>
      </w:r>
      <w:r w:rsidR="000C17B4">
        <w:rPr>
          <w:rFonts w:ascii="Verdana" w:eastAsia="Calibri" w:hAnsi="Verdana" w:cs="Arial"/>
          <w:szCs w:val="24"/>
          <w:lang w:val="es-MX" w:eastAsia="en-US"/>
        </w:rPr>
        <w:t>iscal Dos Mil Veintitrés, con</w:t>
      </w:r>
      <w:r w:rsidR="00C762CA">
        <w:rPr>
          <w:rFonts w:ascii="Verdana" w:eastAsia="Calibri" w:hAnsi="Verdana" w:cs="Arial"/>
          <w:szCs w:val="24"/>
          <w:lang w:val="es-MX" w:eastAsia="en-US"/>
        </w:rPr>
        <w:t>tinúa</w:t>
      </w:r>
      <w:r w:rsidR="000C17B4">
        <w:rPr>
          <w:rFonts w:ascii="Verdana" w:eastAsia="Calibri" w:hAnsi="Verdana" w:cs="Arial"/>
          <w:szCs w:val="24"/>
          <w:lang w:val="es-MX" w:eastAsia="en-US"/>
        </w:rPr>
        <w:t xml:space="preserve"> vigen</w:t>
      </w:r>
      <w:r w:rsidR="00C762CA">
        <w:rPr>
          <w:rFonts w:ascii="Verdana" w:eastAsia="Calibri" w:hAnsi="Verdana" w:cs="Arial"/>
          <w:szCs w:val="24"/>
          <w:lang w:val="es-MX" w:eastAsia="en-US"/>
        </w:rPr>
        <w:t>te</w:t>
      </w:r>
      <w:r w:rsidR="000C17B4">
        <w:rPr>
          <w:rFonts w:ascii="Verdana" w:eastAsia="Calibri" w:hAnsi="Verdana" w:cs="Arial"/>
          <w:szCs w:val="24"/>
          <w:lang w:val="es-MX" w:eastAsia="en-US"/>
        </w:rPr>
        <w:t xml:space="preserve"> para el </w:t>
      </w:r>
      <w:r w:rsidR="00C762CA">
        <w:rPr>
          <w:rFonts w:ascii="Verdana" w:eastAsia="Calibri" w:hAnsi="Verdana" w:cs="Arial"/>
          <w:szCs w:val="24"/>
          <w:lang w:val="es-MX" w:eastAsia="en-US"/>
        </w:rPr>
        <w:t>e</w:t>
      </w:r>
      <w:r w:rsidR="000C17B4">
        <w:rPr>
          <w:rFonts w:ascii="Verdana" w:eastAsia="Calibri" w:hAnsi="Verdana" w:cs="Arial"/>
          <w:szCs w:val="24"/>
          <w:lang w:val="es-MX" w:eastAsia="en-US"/>
        </w:rPr>
        <w:t xml:space="preserve">jercicio </w:t>
      </w:r>
      <w:r w:rsidR="00C762CA">
        <w:rPr>
          <w:rFonts w:ascii="Verdana" w:eastAsia="Calibri" w:hAnsi="Verdana" w:cs="Arial"/>
          <w:szCs w:val="24"/>
          <w:lang w:val="es-MX" w:eastAsia="en-US"/>
        </w:rPr>
        <w:t>f</w:t>
      </w:r>
      <w:r w:rsidR="000C17B4">
        <w:rPr>
          <w:rFonts w:ascii="Verdana" w:eastAsia="Calibri" w:hAnsi="Verdana" w:cs="Arial"/>
          <w:szCs w:val="24"/>
          <w:lang w:val="es-MX" w:eastAsia="en-US"/>
        </w:rPr>
        <w:t>iscal Dos Mil Veinticuatro.</w:t>
      </w:r>
    </w:p>
    <w:p w14:paraId="6053CBD3" w14:textId="77777777" w:rsidR="00C762CA" w:rsidRDefault="00C762CA" w:rsidP="003C58C1">
      <w:pPr>
        <w:pStyle w:val="Textoindependiente"/>
        <w:jc w:val="both"/>
        <w:rPr>
          <w:rFonts w:ascii="Verdana" w:eastAsia="Calibri" w:hAnsi="Verdana" w:cs="Arial"/>
          <w:szCs w:val="24"/>
          <w:lang w:val="es-MX" w:eastAsia="en-US"/>
        </w:rPr>
      </w:pPr>
    </w:p>
    <w:p w14:paraId="58108AD8" w14:textId="77777777" w:rsidR="00C762CA" w:rsidRDefault="00C762CA" w:rsidP="003C58C1">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P</w:t>
      </w:r>
      <w:r w:rsidR="00D02F19">
        <w:rPr>
          <w:rFonts w:ascii="Verdana" w:eastAsia="Calibri" w:hAnsi="Verdana" w:cs="Arial"/>
          <w:szCs w:val="24"/>
          <w:lang w:val="es-MX" w:eastAsia="en-US"/>
        </w:rPr>
        <w:t>ara el ejercicio fiscal 2024</w:t>
      </w:r>
      <w:r>
        <w:rPr>
          <w:rFonts w:ascii="Verdana" w:eastAsia="Calibri" w:hAnsi="Verdana" w:cs="Arial"/>
          <w:szCs w:val="24"/>
          <w:lang w:val="es-MX" w:eastAsia="en-US"/>
        </w:rPr>
        <w:t>,</w:t>
      </w:r>
      <w:r w:rsidR="00D02F19">
        <w:rPr>
          <w:rFonts w:ascii="Verdana" w:eastAsia="Calibri" w:hAnsi="Verdana" w:cs="Arial"/>
          <w:szCs w:val="24"/>
          <w:lang w:val="es-MX" w:eastAsia="en-US"/>
        </w:rPr>
        <w:t xml:space="preserve"> </w:t>
      </w:r>
      <w:r w:rsidR="00860798">
        <w:rPr>
          <w:rFonts w:ascii="Verdana" w:eastAsia="Calibri" w:hAnsi="Verdana" w:cs="Arial"/>
          <w:szCs w:val="24"/>
          <w:lang w:val="es-MX" w:eastAsia="en-US"/>
        </w:rPr>
        <w:t>el</w:t>
      </w:r>
      <w:r w:rsidR="00A41B5D">
        <w:rPr>
          <w:rFonts w:ascii="Verdana" w:eastAsia="Calibri" w:hAnsi="Verdana" w:cs="Arial"/>
          <w:szCs w:val="24"/>
          <w:lang w:val="es-MX" w:eastAsia="en-US"/>
        </w:rPr>
        <w:t xml:space="preserve"> Ministerio de Economía </w:t>
      </w:r>
      <w:r w:rsidR="00860798">
        <w:rPr>
          <w:rFonts w:ascii="Verdana" w:eastAsia="Calibri" w:hAnsi="Verdana" w:cs="Arial"/>
          <w:szCs w:val="24"/>
          <w:lang w:val="es-MX" w:eastAsia="en-US"/>
        </w:rPr>
        <w:t xml:space="preserve">tiene un presupuesto asignado por </w:t>
      </w:r>
      <w:r w:rsidR="00A41B5D">
        <w:rPr>
          <w:rFonts w:ascii="Verdana" w:eastAsia="Calibri" w:hAnsi="Verdana" w:cs="Arial"/>
          <w:szCs w:val="24"/>
          <w:lang w:val="es-MX" w:eastAsia="en-US"/>
        </w:rPr>
        <w:t xml:space="preserve">la cantidad de </w:t>
      </w:r>
      <w:r w:rsidR="00860798">
        <w:rPr>
          <w:rFonts w:ascii="Verdana" w:eastAsia="Calibri" w:hAnsi="Verdana" w:cs="Arial"/>
          <w:szCs w:val="24"/>
          <w:lang w:val="es-MX" w:eastAsia="en-US"/>
        </w:rPr>
        <w:t>Q497,004,000.00, distribuyéndose en las fuentes de financiamiento 11 Ingresos corrientes la cantidad de Q272,050,000.00, 31 Ingresos propios la cantidad de Q84,699,000.00, 32 Disminución de caja y bancos de ingresos propios la cantidad de Q35,138,000.00, 41 Colocaciones internas la cantidad de Q100,000,000.00 y 61 Donaciones externas la cantidad de Q5,117,000.00</w:t>
      </w:r>
      <w:r>
        <w:rPr>
          <w:rFonts w:ascii="Verdana" w:eastAsia="Calibri" w:hAnsi="Verdana" w:cs="Arial"/>
          <w:szCs w:val="24"/>
          <w:lang w:val="es-MX" w:eastAsia="en-US"/>
        </w:rPr>
        <w:t>.</w:t>
      </w:r>
    </w:p>
    <w:p w14:paraId="04D6564B" w14:textId="77777777" w:rsidR="00C762CA" w:rsidRDefault="00C762CA" w:rsidP="003C58C1">
      <w:pPr>
        <w:pStyle w:val="Textoindependiente"/>
        <w:jc w:val="both"/>
        <w:rPr>
          <w:rFonts w:ascii="Verdana" w:eastAsia="Calibri" w:hAnsi="Verdana" w:cs="Arial"/>
          <w:szCs w:val="24"/>
          <w:lang w:val="es-MX" w:eastAsia="en-US"/>
        </w:rPr>
      </w:pPr>
    </w:p>
    <w:p w14:paraId="3B50FC50" w14:textId="158453E9" w:rsidR="00A41B5D" w:rsidRDefault="00C762CA" w:rsidP="003C58C1">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Asimismo, el presupuesto</w:t>
      </w:r>
      <w:r w:rsidR="00CE006D">
        <w:rPr>
          <w:rFonts w:ascii="Verdana" w:eastAsia="Calibri" w:hAnsi="Verdana" w:cs="Arial"/>
          <w:szCs w:val="24"/>
          <w:lang w:val="es-MX" w:eastAsia="en-US"/>
        </w:rPr>
        <w:t xml:space="preserve"> </w:t>
      </w:r>
      <w:r w:rsidR="00010694">
        <w:rPr>
          <w:rFonts w:ascii="Verdana" w:eastAsia="Calibri" w:hAnsi="Verdana" w:cs="Arial"/>
          <w:szCs w:val="24"/>
          <w:lang w:val="es-MX" w:eastAsia="en-US"/>
        </w:rPr>
        <w:t>asignado</w:t>
      </w:r>
      <w:r>
        <w:rPr>
          <w:rFonts w:ascii="Verdana" w:eastAsia="Calibri" w:hAnsi="Verdana" w:cs="Arial"/>
          <w:szCs w:val="24"/>
          <w:lang w:val="es-MX" w:eastAsia="en-US"/>
        </w:rPr>
        <w:t xml:space="preserve"> </w:t>
      </w:r>
      <w:r w:rsidR="00860798">
        <w:rPr>
          <w:rFonts w:ascii="Verdana" w:eastAsia="Calibri" w:hAnsi="Verdana" w:cs="Arial"/>
          <w:szCs w:val="24"/>
          <w:lang w:val="es-MX" w:eastAsia="en-US"/>
        </w:rPr>
        <w:t>se divide en los grupos de gasto 000 Servicios personales la cantidad de Q</w:t>
      </w:r>
      <w:r w:rsidR="00EC5E66">
        <w:rPr>
          <w:rFonts w:ascii="Verdana" w:eastAsia="Calibri" w:hAnsi="Verdana" w:cs="Arial"/>
          <w:szCs w:val="24"/>
          <w:lang w:val="es-MX" w:eastAsia="en-US"/>
        </w:rPr>
        <w:t>152,931,282</w:t>
      </w:r>
      <w:r w:rsidR="00860798">
        <w:rPr>
          <w:rFonts w:ascii="Verdana" w:eastAsia="Calibri" w:hAnsi="Verdana" w:cs="Arial"/>
          <w:szCs w:val="24"/>
          <w:lang w:val="es-MX" w:eastAsia="en-US"/>
        </w:rPr>
        <w:t>.00, 100 Servicios no personales la cantidad de Q</w:t>
      </w:r>
      <w:r w:rsidR="00EC5E66">
        <w:rPr>
          <w:rFonts w:ascii="Verdana" w:eastAsia="Calibri" w:hAnsi="Verdana" w:cs="Arial"/>
          <w:szCs w:val="24"/>
          <w:lang w:val="es-MX" w:eastAsia="en-US"/>
        </w:rPr>
        <w:t>128,534,206</w:t>
      </w:r>
      <w:r w:rsidR="00860798">
        <w:rPr>
          <w:rFonts w:ascii="Verdana" w:eastAsia="Calibri" w:hAnsi="Verdana" w:cs="Arial"/>
          <w:szCs w:val="24"/>
          <w:lang w:val="es-MX" w:eastAsia="en-US"/>
        </w:rPr>
        <w:t>.00, 200 Materiales y suministros la cantidad de Q</w:t>
      </w:r>
      <w:r w:rsidR="00EC5E66">
        <w:rPr>
          <w:rFonts w:ascii="Verdana" w:eastAsia="Calibri" w:hAnsi="Verdana" w:cs="Arial"/>
          <w:szCs w:val="24"/>
          <w:lang w:val="es-MX" w:eastAsia="en-US"/>
        </w:rPr>
        <w:t>18,653,405</w:t>
      </w:r>
      <w:r w:rsidR="00860798">
        <w:rPr>
          <w:rFonts w:ascii="Verdana" w:eastAsia="Calibri" w:hAnsi="Verdana" w:cs="Arial"/>
          <w:szCs w:val="24"/>
          <w:lang w:val="es-MX" w:eastAsia="en-US"/>
        </w:rPr>
        <w:t>.00, 300 Propiedad, planta, equipo e intangibles la cantidad de Q</w:t>
      </w:r>
      <w:r w:rsidR="00EC5E66">
        <w:rPr>
          <w:rFonts w:ascii="Verdana" w:eastAsia="Calibri" w:hAnsi="Verdana" w:cs="Arial"/>
          <w:szCs w:val="24"/>
          <w:lang w:val="es-MX" w:eastAsia="en-US"/>
        </w:rPr>
        <w:t>15,564,953</w:t>
      </w:r>
      <w:r w:rsidR="00210460">
        <w:rPr>
          <w:rFonts w:ascii="Verdana" w:eastAsia="Calibri" w:hAnsi="Verdana" w:cs="Arial"/>
          <w:szCs w:val="24"/>
          <w:lang w:val="es-MX" w:eastAsia="en-US"/>
        </w:rPr>
        <w:t>.00</w:t>
      </w:r>
      <w:r w:rsidR="00860798">
        <w:rPr>
          <w:rFonts w:ascii="Verdana" w:eastAsia="Calibri" w:hAnsi="Verdana" w:cs="Arial"/>
          <w:szCs w:val="24"/>
          <w:lang w:val="es-MX" w:eastAsia="en-US"/>
        </w:rPr>
        <w:t xml:space="preserve">, 400 Transferencias corrientes </w:t>
      </w:r>
      <w:r w:rsidR="00860798">
        <w:rPr>
          <w:rFonts w:ascii="Verdana" w:eastAsia="Calibri" w:hAnsi="Verdana" w:cs="Arial"/>
          <w:szCs w:val="24"/>
          <w:lang w:val="es-MX" w:eastAsia="en-US"/>
        </w:rPr>
        <w:lastRenderedPageBreak/>
        <w:t>la cantidad de Q</w:t>
      </w:r>
      <w:r w:rsidR="00EC5E66">
        <w:rPr>
          <w:rFonts w:ascii="Verdana" w:eastAsia="Calibri" w:hAnsi="Verdana" w:cs="Arial"/>
          <w:szCs w:val="24"/>
          <w:lang w:val="es-MX" w:eastAsia="en-US"/>
        </w:rPr>
        <w:t>86,605,901</w:t>
      </w:r>
      <w:r w:rsidR="00860798">
        <w:rPr>
          <w:rFonts w:ascii="Verdana" w:eastAsia="Calibri" w:hAnsi="Verdana" w:cs="Arial"/>
          <w:szCs w:val="24"/>
          <w:lang w:val="es-MX" w:eastAsia="en-US"/>
        </w:rPr>
        <w:t>.00</w:t>
      </w:r>
      <w:r w:rsidR="00EC5E66">
        <w:rPr>
          <w:rFonts w:ascii="Verdana" w:eastAsia="Calibri" w:hAnsi="Verdana" w:cs="Arial"/>
          <w:szCs w:val="24"/>
          <w:lang w:val="es-MX" w:eastAsia="en-US"/>
        </w:rPr>
        <w:t xml:space="preserve"> </w:t>
      </w:r>
      <w:r w:rsidR="00860798">
        <w:rPr>
          <w:rFonts w:ascii="Verdana" w:eastAsia="Calibri" w:hAnsi="Verdana" w:cs="Arial"/>
          <w:szCs w:val="24"/>
          <w:lang w:val="es-MX" w:eastAsia="en-US"/>
        </w:rPr>
        <w:t>y 900 Asignaciones globales la cantidad de Q</w:t>
      </w:r>
      <w:r w:rsidR="00EC5E66">
        <w:rPr>
          <w:rFonts w:ascii="Verdana" w:eastAsia="Calibri" w:hAnsi="Verdana" w:cs="Arial"/>
          <w:szCs w:val="24"/>
          <w:lang w:val="es-MX" w:eastAsia="en-US"/>
        </w:rPr>
        <w:t>94,624,253</w:t>
      </w:r>
      <w:r w:rsidR="00860798">
        <w:rPr>
          <w:rFonts w:ascii="Verdana" w:eastAsia="Calibri" w:hAnsi="Verdana" w:cs="Arial"/>
          <w:szCs w:val="24"/>
          <w:lang w:val="es-MX" w:eastAsia="en-US"/>
        </w:rPr>
        <w:t>.00.</w:t>
      </w:r>
    </w:p>
    <w:p w14:paraId="42C00948" w14:textId="147E670C" w:rsidR="00307116" w:rsidRDefault="00307116" w:rsidP="003C58C1">
      <w:pPr>
        <w:pStyle w:val="Textoindependiente"/>
        <w:jc w:val="both"/>
        <w:rPr>
          <w:rFonts w:ascii="Verdana" w:eastAsia="Calibri" w:hAnsi="Verdana" w:cs="Arial"/>
          <w:szCs w:val="24"/>
          <w:lang w:val="es-MX" w:eastAsia="en-US"/>
        </w:rPr>
      </w:pPr>
    </w:p>
    <w:p w14:paraId="4F598AC3" w14:textId="603E8732" w:rsidR="00C762CA" w:rsidRDefault="00C762CA" w:rsidP="003C58C1">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 xml:space="preserve">Cabe resaltar que durante el ejercicio fiscal 2024 </w:t>
      </w:r>
      <w:r w:rsidR="009119B4">
        <w:rPr>
          <w:rFonts w:ascii="Verdana" w:eastAsia="Calibri" w:hAnsi="Verdana" w:cs="Arial"/>
          <w:szCs w:val="24"/>
          <w:lang w:val="es-MX" w:eastAsia="en-US"/>
        </w:rPr>
        <w:t>se disminuyó la cantidad de Q70,</w:t>
      </w:r>
      <w:r>
        <w:rPr>
          <w:rFonts w:ascii="Verdana" w:eastAsia="Calibri" w:hAnsi="Verdana" w:cs="Arial"/>
          <w:szCs w:val="24"/>
          <w:lang w:val="es-MX" w:eastAsia="en-US"/>
        </w:rPr>
        <w:t>0</w:t>
      </w:r>
      <w:r w:rsidR="009119B4">
        <w:rPr>
          <w:rFonts w:ascii="Verdana" w:eastAsia="Calibri" w:hAnsi="Verdana" w:cs="Arial"/>
          <w:szCs w:val="24"/>
          <w:lang w:val="es-MX" w:eastAsia="en-US"/>
        </w:rPr>
        <w:t>000,000.00</w:t>
      </w:r>
      <w:r>
        <w:rPr>
          <w:rFonts w:ascii="Verdana" w:eastAsia="Calibri" w:hAnsi="Verdana" w:cs="Arial"/>
          <w:szCs w:val="24"/>
          <w:lang w:val="es-MX" w:eastAsia="en-US"/>
        </w:rPr>
        <w:t xml:space="preserve"> </w:t>
      </w:r>
      <w:r w:rsidR="00984BFB">
        <w:rPr>
          <w:rFonts w:ascii="Verdana" w:eastAsia="Calibri" w:hAnsi="Verdana" w:cs="Arial"/>
          <w:szCs w:val="24"/>
          <w:lang w:val="es-MX" w:eastAsia="en-US"/>
        </w:rPr>
        <w:t xml:space="preserve">de la fuente de financiamiento 41 Colocaciones internas, recursos que estaban programados para el otorgamiento de Becas de Inglés y de Enfermería. Con dicha acción presupuestaria, el presupuesto vigente asciende a Q427,004,000.00. </w:t>
      </w:r>
    </w:p>
    <w:p w14:paraId="27335D29" w14:textId="77777777" w:rsidR="00984BFB" w:rsidRDefault="00984BFB" w:rsidP="003C58C1">
      <w:pPr>
        <w:pStyle w:val="Textoindependiente"/>
        <w:jc w:val="both"/>
        <w:rPr>
          <w:rFonts w:ascii="Verdana" w:eastAsia="Calibri" w:hAnsi="Verdana" w:cs="Arial"/>
          <w:szCs w:val="24"/>
          <w:lang w:val="es-MX" w:eastAsia="en-US"/>
        </w:rPr>
      </w:pPr>
    </w:p>
    <w:p w14:paraId="6C501CD3" w14:textId="65A5DAB5" w:rsidR="00A61D63" w:rsidRDefault="00A61D63" w:rsidP="003C58C1">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 xml:space="preserve">El Viceministerio Administrativo y Financiero es el responsable de dirigir y coordinar la administración de los recursos financieros, presupuestarios y humanos de que disponen los órganos, programas y proyectos que conforman el Ministerio, </w:t>
      </w:r>
      <w:r w:rsidR="00984BFB">
        <w:rPr>
          <w:rFonts w:ascii="Verdana" w:eastAsia="Calibri" w:hAnsi="Verdana" w:cs="Arial"/>
          <w:szCs w:val="24"/>
          <w:lang w:val="es-MX" w:eastAsia="en-US"/>
        </w:rPr>
        <w:t>de acuerdo con</w:t>
      </w:r>
      <w:r>
        <w:rPr>
          <w:rFonts w:ascii="Verdana" w:eastAsia="Calibri" w:hAnsi="Verdana" w:cs="Arial"/>
          <w:szCs w:val="24"/>
          <w:lang w:val="es-MX" w:eastAsia="en-US"/>
        </w:rPr>
        <w:t xml:space="preserve"> la norma</w:t>
      </w:r>
      <w:r w:rsidR="00984BFB">
        <w:rPr>
          <w:rFonts w:ascii="Verdana" w:eastAsia="Calibri" w:hAnsi="Verdana" w:cs="Arial"/>
          <w:szCs w:val="24"/>
          <w:lang w:val="es-MX" w:eastAsia="en-US"/>
        </w:rPr>
        <w:t>tiva vigente</w:t>
      </w:r>
      <w:r>
        <w:rPr>
          <w:rFonts w:ascii="Verdana" w:eastAsia="Calibri" w:hAnsi="Verdana" w:cs="Arial"/>
          <w:szCs w:val="24"/>
          <w:lang w:val="es-MX" w:eastAsia="en-US"/>
        </w:rPr>
        <w:t>, así como el fortalecimiento y modernización institucional.</w:t>
      </w:r>
    </w:p>
    <w:p w14:paraId="2C2CD388" w14:textId="77777777" w:rsidR="00A61D63" w:rsidRPr="0010018F" w:rsidRDefault="00A61D63" w:rsidP="003C58C1">
      <w:pPr>
        <w:pStyle w:val="Textoindependiente"/>
        <w:jc w:val="both"/>
        <w:rPr>
          <w:rFonts w:ascii="Verdana" w:eastAsia="Calibri" w:hAnsi="Verdana" w:cs="Arial"/>
          <w:szCs w:val="24"/>
          <w:lang w:val="es-MX" w:eastAsia="en-US"/>
        </w:rPr>
      </w:pPr>
    </w:p>
    <w:p w14:paraId="18A4687C" w14:textId="412CB6C2" w:rsidR="003C58C1" w:rsidRPr="0010018F" w:rsidRDefault="00776864" w:rsidP="003C58C1">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E</w:t>
      </w:r>
      <w:r w:rsidR="00D55C6F" w:rsidRPr="0010018F">
        <w:rPr>
          <w:rFonts w:ascii="Verdana" w:eastAsia="Calibri" w:hAnsi="Verdana" w:cs="Arial"/>
          <w:szCs w:val="24"/>
          <w:lang w:val="es-MX" w:eastAsia="en-US"/>
        </w:rPr>
        <w:t>l Viceministerio Administrativo y Financiero</w:t>
      </w:r>
      <w:r w:rsidR="003C58C1" w:rsidRPr="0010018F">
        <w:rPr>
          <w:rFonts w:ascii="Verdana" w:eastAsia="Calibri" w:hAnsi="Verdana" w:cs="Arial"/>
          <w:szCs w:val="24"/>
          <w:lang w:val="es-MX" w:eastAsia="en-US"/>
        </w:rPr>
        <w:t xml:space="preserve"> </w:t>
      </w:r>
      <w:r>
        <w:rPr>
          <w:rFonts w:ascii="Verdana" w:eastAsia="Calibri" w:hAnsi="Verdana" w:cs="Arial"/>
          <w:szCs w:val="24"/>
          <w:lang w:val="es-MX" w:eastAsia="en-US"/>
        </w:rPr>
        <w:t>cuenta con un</w:t>
      </w:r>
      <w:r w:rsidR="00323D37">
        <w:rPr>
          <w:rFonts w:ascii="Verdana" w:eastAsia="Calibri" w:hAnsi="Verdana" w:cs="Arial"/>
          <w:szCs w:val="24"/>
          <w:lang w:val="es-MX" w:eastAsia="en-US"/>
        </w:rPr>
        <w:t xml:space="preserve"> presupuesto</w:t>
      </w:r>
      <w:r>
        <w:rPr>
          <w:rFonts w:ascii="Verdana" w:eastAsia="Calibri" w:hAnsi="Verdana" w:cs="Arial"/>
          <w:szCs w:val="24"/>
          <w:lang w:val="es-MX" w:eastAsia="en-US"/>
        </w:rPr>
        <w:t xml:space="preserve"> vigente</w:t>
      </w:r>
      <w:r w:rsidR="00323D37">
        <w:rPr>
          <w:rFonts w:ascii="Verdana" w:eastAsia="Calibri" w:hAnsi="Verdana" w:cs="Arial"/>
          <w:szCs w:val="24"/>
          <w:lang w:val="es-MX" w:eastAsia="en-US"/>
        </w:rPr>
        <w:t xml:space="preserve"> por </w:t>
      </w:r>
      <w:r w:rsidR="003C58C1" w:rsidRPr="0010018F">
        <w:rPr>
          <w:rFonts w:ascii="Verdana" w:eastAsia="Calibri" w:hAnsi="Verdana" w:cs="Arial"/>
          <w:szCs w:val="24"/>
          <w:lang w:val="es-MX" w:eastAsia="en-US"/>
        </w:rPr>
        <w:t>l</w:t>
      </w:r>
      <w:r w:rsidR="00323D37">
        <w:rPr>
          <w:rFonts w:ascii="Verdana" w:eastAsia="Calibri" w:hAnsi="Verdana" w:cs="Arial"/>
          <w:szCs w:val="24"/>
          <w:lang w:val="es-MX" w:eastAsia="en-US"/>
        </w:rPr>
        <w:t>a</w:t>
      </w:r>
      <w:r w:rsidR="003C58C1" w:rsidRPr="0010018F">
        <w:rPr>
          <w:rFonts w:ascii="Verdana" w:eastAsia="Calibri" w:hAnsi="Verdana" w:cs="Arial"/>
          <w:szCs w:val="24"/>
          <w:lang w:val="es-MX" w:eastAsia="en-US"/>
        </w:rPr>
        <w:t xml:space="preserve"> </w:t>
      </w:r>
      <w:r w:rsidR="00323D37">
        <w:rPr>
          <w:rFonts w:ascii="Verdana" w:eastAsia="Calibri" w:hAnsi="Verdana" w:cs="Arial"/>
          <w:szCs w:val="24"/>
          <w:lang w:val="es-MX" w:eastAsia="en-US"/>
        </w:rPr>
        <w:t>cantidad</w:t>
      </w:r>
      <w:r w:rsidR="003C58C1" w:rsidRPr="0010018F">
        <w:rPr>
          <w:rFonts w:ascii="Verdana" w:eastAsia="Calibri" w:hAnsi="Verdana" w:cs="Arial"/>
          <w:szCs w:val="24"/>
          <w:lang w:val="es-MX" w:eastAsia="en-US"/>
        </w:rPr>
        <w:t xml:space="preserve"> de </w:t>
      </w:r>
      <w:proofErr w:type="spellStart"/>
      <w:r w:rsidR="003C58C1" w:rsidRPr="0010018F">
        <w:rPr>
          <w:rFonts w:ascii="Verdana" w:eastAsia="Calibri" w:hAnsi="Verdana" w:cs="Arial"/>
          <w:b/>
          <w:szCs w:val="24"/>
          <w:lang w:val="es-MX" w:eastAsia="en-US"/>
        </w:rPr>
        <w:t>Q18</w:t>
      </w:r>
      <w:r w:rsidR="008E2ABC">
        <w:rPr>
          <w:rFonts w:ascii="Verdana" w:eastAsia="Calibri" w:hAnsi="Verdana" w:cs="Arial"/>
          <w:b/>
          <w:szCs w:val="24"/>
          <w:lang w:val="es-MX" w:eastAsia="en-US"/>
        </w:rPr>
        <w:t>5</w:t>
      </w:r>
      <w:r w:rsidR="003C58C1" w:rsidRPr="0010018F">
        <w:rPr>
          <w:rFonts w:ascii="Verdana" w:eastAsia="Calibri" w:hAnsi="Verdana" w:cs="Arial"/>
          <w:b/>
          <w:szCs w:val="24"/>
          <w:lang w:val="es-MX" w:eastAsia="en-US"/>
        </w:rPr>
        <w:t>,</w:t>
      </w:r>
      <w:r w:rsidR="008E2ABC">
        <w:rPr>
          <w:rFonts w:ascii="Verdana" w:eastAsia="Calibri" w:hAnsi="Verdana" w:cs="Arial"/>
          <w:b/>
          <w:szCs w:val="24"/>
          <w:lang w:val="es-MX" w:eastAsia="en-US"/>
        </w:rPr>
        <w:t>812</w:t>
      </w:r>
      <w:r w:rsidR="003C58C1" w:rsidRPr="0010018F">
        <w:rPr>
          <w:rFonts w:ascii="Verdana" w:eastAsia="Calibri" w:hAnsi="Verdana" w:cs="Arial"/>
          <w:b/>
          <w:szCs w:val="24"/>
          <w:lang w:val="es-MX" w:eastAsia="en-US"/>
        </w:rPr>
        <w:t>,</w:t>
      </w:r>
      <w:r w:rsidR="008E2ABC">
        <w:rPr>
          <w:rFonts w:ascii="Verdana" w:eastAsia="Calibri" w:hAnsi="Verdana" w:cs="Arial"/>
          <w:b/>
          <w:szCs w:val="24"/>
          <w:lang w:val="es-MX" w:eastAsia="en-US"/>
        </w:rPr>
        <w:t>976</w:t>
      </w:r>
      <w:r w:rsidR="00497145">
        <w:rPr>
          <w:rFonts w:ascii="Verdana" w:eastAsia="Calibri" w:hAnsi="Verdana" w:cs="Arial"/>
          <w:b/>
          <w:szCs w:val="24"/>
          <w:lang w:val="es-MX" w:eastAsia="en-US"/>
        </w:rPr>
        <w:t>.00</w:t>
      </w:r>
      <w:proofErr w:type="spellEnd"/>
      <w:r w:rsidR="003C58C1" w:rsidRPr="0010018F">
        <w:rPr>
          <w:rFonts w:ascii="Verdana" w:eastAsia="Calibri" w:hAnsi="Verdana" w:cs="Arial"/>
          <w:szCs w:val="24"/>
          <w:lang w:val="es-MX" w:eastAsia="en-US"/>
        </w:rPr>
        <w:t>,</w:t>
      </w:r>
      <w:r w:rsidR="00323D37">
        <w:rPr>
          <w:rFonts w:ascii="Verdana" w:eastAsia="Calibri" w:hAnsi="Verdana" w:cs="Arial"/>
          <w:szCs w:val="24"/>
          <w:lang w:val="es-MX" w:eastAsia="en-US"/>
        </w:rPr>
        <w:t xml:space="preserve"> </w:t>
      </w:r>
      <w:r w:rsidR="003C58C1" w:rsidRPr="0010018F">
        <w:rPr>
          <w:rFonts w:ascii="Verdana" w:eastAsia="Calibri" w:hAnsi="Verdana" w:cs="Arial"/>
          <w:szCs w:val="24"/>
          <w:lang w:val="es-MX" w:eastAsia="en-US"/>
        </w:rPr>
        <w:t xml:space="preserve">de lo cual al cierre de </w:t>
      </w:r>
      <w:r w:rsidR="008E2ABC">
        <w:rPr>
          <w:rFonts w:ascii="Verdana" w:eastAsia="Calibri" w:hAnsi="Verdana" w:cs="Arial"/>
          <w:szCs w:val="24"/>
          <w:lang w:val="es-MX" w:eastAsia="en-US"/>
        </w:rPr>
        <w:t>noviembre</w:t>
      </w:r>
      <w:r w:rsidR="003C58C1" w:rsidRPr="0010018F">
        <w:rPr>
          <w:rFonts w:ascii="Verdana" w:eastAsia="Calibri" w:hAnsi="Verdana" w:cs="Arial"/>
          <w:szCs w:val="24"/>
          <w:lang w:val="es-MX" w:eastAsia="en-US"/>
        </w:rPr>
        <w:t xml:space="preserve"> se reportó una ejecución de gastos </w:t>
      </w:r>
      <w:r w:rsidR="00772F51">
        <w:rPr>
          <w:rFonts w:ascii="Verdana" w:eastAsia="Calibri" w:hAnsi="Verdana" w:cs="Arial"/>
          <w:szCs w:val="24"/>
          <w:lang w:val="es-MX" w:eastAsia="en-US"/>
        </w:rPr>
        <w:t>por la cantidad de</w:t>
      </w:r>
      <w:r w:rsidR="003C58C1" w:rsidRPr="0010018F">
        <w:rPr>
          <w:rFonts w:ascii="Verdana" w:eastAsia="Calibri" w:hAnsi="Verdana" w:cs="Arial"/>
          <w:szCs w:val="24"/>
          <w:lang w:val="es-MX" w:eastAsia="en-US"/>
        </w:rPr>
        <w:t xml:space="preserve"> </w:t>
      </w:r>
      <w:proofErr w:type="spellStart"/>
      <w:r w:rsidR="003C58C1" w:rsidRPr="0010018F">
        <w:rPr>
          <w:rFonts w:ascii="Verdana" w:eastAsia="Calibri" w:hAnsi="Verdana" w:cs="Arial"/>
          <w:b/>
          <w:szCs w:val="24"/>
          <w:lang w:val="es-MX" w:eastAsia="en-US"/>
        </w:rPr>
        <w:t>Q</w:t>
      </w:r>
      <w:r w:rsidR="005423E5">
        <w:rPr>
          <w:rFonts w:ascii="Verdana" w:eastAsia="Calibri" w:hAnsi="Verdana" w:cs="Arial"/>
          <w:b/>
          <w:szCs w:val="24"/>
          <w:lang w:val="es-MX" w:eastAsia="en-US"/>
        </w:rPr>
        <w:t>1</w:t>
      </w:r>
      <w:r w:rsidR="008E2ABC">
        <w:rPr>
          <w:rFonts w:ascii="Verdana" w:eastAsia="Calibri" w:hAnsi="Verdana" w:cs="Arial"/>
          <w:b/>
          <w:szCs w:val="24"/>
          <w:lang w:val="es-MX" w:eastAsia="en-US"/>
        </w:rPr>
        <w:t>36</w:t>
      </w:r>
      <w:r w:rsidR="00497145">
        <w:rPr>
          <w:rFonts w:ascii="Verdana" w:eastAsia="Calibri" w:hAnsi="Verdana" w:cs="Arial"/>
          <w:b/>
          <w:szCs w:val="24"/>
          <w:lang w:val="es-MX" w:eastAsia="en-US"/>
        </w:rPr>
        <w:t>,</w:t>
      </w:r>
      <w:r w:rsidR="008E2ABC">
        <w:rPr>
          <w:rFonts w:ascii="Verdana" w:eastAsia="Calibri" w:hAnsi="Verdana" w:cs="Arial"/>
          <w:b/>
          <w:szCs w:val="24"/>
          <w:lang w:val="es-MX" w:eastAsia="en-US"/>
        </w:rPr>
        <w:t>363</w:t>
      </w:r>
      <w:r w:rsidR="00497145">
        <w:rPr>
          <w:rFonts w:ascii="Verdana" w:eastAsia="Calibri" w:hAnsi="Verdana" w:cs="Arial"/>
          <w:b/>
          <w:szCs w:val="24"/>
          <w:lang w:val="es-MX" w:eastAsia="en-US"/>
        </w:rPr>
        <w:t>,</w:t>
      </w:r>
      <w:r w:rsidR="008E2ABC">
        <w:rPr>
          <w:rFonts w:ascii="Verdana" w:eastAsia="Calibri" w:hAnsi="Verdana" w:cs="Arial"/>
          <w:b/>
          <w:szCs w:val="24"/>
          <w:lang w:val="es-MX" w:eastAsia="en-US"/>
        </w:rPr>
        <w:t>362</w:t>
      </w:r>
      <w:r w:rsidR="00497145">
        <w:rPr>
          <w:rFonts w:ascii="Verdana" w:eastAsia="Calibri" w:hAnsi="Verdana" w:cs="Arial"/>
          <w:b/>
          <w:szCs w:val="24"/>
          <w:lang w:val="es-MX" w:eastAsia="en-US"/>
        </w:rPr>
        <w:t>.</w:t>
      </w:r>
      <w:r w:rsidR="008E2ABC">
        <w:rPr>
          <w:rFonts w:ascii="Verdana" w:eastAsia="Calibri" w:hAnsi="Verdana" w:cs="Arial"/>
          <w:b/>
          <w:szCs w:val="24"/>
          <w:lang w:val="es-MX" w:eastAsia="en-US"/>
        </w:rPr>
        <w:t>76</w:t>
      </w:r>
      <w:proofErr w:type="spellEnd"/>
      <w:r w:rsidR="003C58C1" w:rsidRPr="0010018F">
        <w:rPr>
          <w:rFonts w:ascii="Verdana" w:eastAsia="Calibri" w:hAnsi="Verdana" w:cs="Arial"/>
          <w:szCs w:val="24"/>
          <w:lang w:val="es-MX" w:eastAsia="en-US"/>
        </w:rPr>
        <w:t xml:space="preserve">, lo que representa el </w:t>
      </w:r>
      <w:r w:rsidR="008E2ABC">
        <w:rPr>
          <w:rFonts w:ascii="Verdana" w:eastAsia="Calibri" w:hAnsi="Verdana" w:cs="Arial"/>
          <w:b/>
          <w:szCs w:val="24"/>
          <w:lang w:val="es-MX" w:eastAsia="en-US"/>
        </w:rPr>
        <w:t>73.39</w:t>
      </w:r>
      <w:r w:rsidR="003C58C1" w:rsidRPr="0010018F">
        <w:rPr>
          <w:rFonts w:ascii="Verdana" w:eastAsia="Calibri" w:hAnsi="Verdana" w:cs="Arial"/>
          <w:b/>
          <w:szCs w:val="24"/>
          <w:lang w:val="es-MX" w:eastAsia="en-US"/>
        </w:rPr>
        <w:t>%.</w:t>
      </w:r>
    </w:p>
    <w:p w14:paraId="76491EFB" w14:textId="7B128404" w:rsidR="003C58C1" w:rsidRDefault="003C58C1" w:rsidP="003C58C1">
      <w:pPr>
        <w:rPr>
          <w:rFonts w:ascii="Verdana" w:hAnsi="Verdana" w:cs="Arial"/>
          <w:b/>
          <w:lang w:val="es-MX"/>
        </w:rPr>
      </w:pPr>
    </w:p>
    <w:p w14:paraId="40F70833" w14:textId="4BAC9E2D" w:rsidR="000020CC" w:rsidRDefault="00D56538" w:rsidP="000020CC">
      <w:pPr>
        <w:jc w:val="center"/>
        <w:rPr>
          <w:rFonts w:ascii="Verdana" w:hAnsi="Verdana" w:cs="Arial"/>
          <w:b/>
          <w:lang w:val="es-MX"/>
        </w:rPr>
      </w:pPr>
      <w:r>
        <w:rPr>
          <w:rFonts w:ascii="Verdana" w:hAnsi="Verdana" w:cs="Arial"/>
          <w:b/>
          <w:lang w:val="es-MX"/>
        </w:rPr>
        <w:t>Cuadro</w:t>
      </w:r>
      <w:r w:rsidR="000020CC">
        <w:rPr>
          <w:rFonts w:ascii="Verdana" w:hAnsi="Verdana" w:cs="Arial"/>
          <w:b/>
          <w:lang w:val="es-MX"/>
        </w:rPr>
        <w:t xml:space="preserve"> No. 1</w:t>
      </w:r>
    </w:p>
    <w:p w14:paraId="448541E4" w14:textId="77777777" w:rsidR="00B24CF4" w:rsidRPr="0010018F" w:rsidRDefault="00B24CF4" w:rsidP="00B24CF4">
      <w:pPr>
        <w:jc w:val="center"/>
        <w:rPr>
          <w:rFonts w:ascii="Verdana" w:hAnsi="Verdana" w:cs="Arial"/>
          <w:b/>
          <w:lang w:val="es-MX"/>
        </w:rPr>
      </w:pPr>
      <w:r w:rsidRPr="0010018F">
        <w:rPr>
          <w:rFonts w:ascii="Verdana" w:hAnsi="Verdana" w:cs="Arial"/>
          <w:b/>
          <w:lang w:val="es-MX"/>
        </w:rPr>
        <w:t>Viceministerio Administrativo y Financiero</w:t>
      </w:r>
    </w:p>
    <w:p w14:paraId="60026517" w14:textId="589C8831" w:rsidR="000020CC" w:rsidRDefault="000020CC" w:rsidP="000020CC">
      <w:pPr>
        <w:jc w:val="center"/>
        <w:rPr>
          <w:rFonts w:ascii="Verdana" w:hAnsi="Verdana" w:cs="Arial"/>
          <w:b/>
          <w:lang w:val="es-MX"/>
        </w:rPr>
      </w:pPr>
      <w:r>
        <w:rPr>
          <w:rFonts w:ascii="Verdana" w:hAnsi="Verdana" w:cs="Arial"/>
          <w:b/>
          <w:lang w:val="es-MX"/>
        </w:rPr>
        <w:t>Comparativo Ejecución por Unidades Ejecutoras</w:t>
      </w:r>
    </w:p>
    <w:p w14:paraId="08219825" w14:textId="1AD14E58" w:rsidR="00CA527F" w:rsidRPr="0010018F" w:rsidRDefault="00CA527F" w:rsidP="000020CC">
      <w:pPr>
        <w:jc w:val="center"/>
        <w:rPr>
          <w:rFonts w:ascii="Verdana" w:hAnsi="Verdana" w:cs="Arial"/>
          <w:b/>
          <w:lang w:val="es-MX"/>
        </w:rPr>
      </w:pPr>
      <w:r>
        <w:rPr>
          <w:rFonts w:ascii="Verdana" w:hAnsi="Verdana" w:cs="Arial"/>
          <w:b/>
          <w:lang w:val="es-MX"/>
        </w:rPr>
        <w:t>(Montos en quetzales)</w:t>
      </w:r>
    </w:p>
    <w:p w14:paraId="58ADE9D7" w14:textId="0DE4E50F" w:rsidR="006014DF" w:rsidRPr="002037A6" w:rsidRDefault="006014DF" w:rsidP="003C58C1">
      <w:pPr>
        <w:jc w:val="center"/>
        <w:rPr>
          <w:rFonts w:ascii="Verdana" w:hAnsi="Verdana" w:cs="Arial"/>
          <w:b/>
          <w:sz w:val="14"/>
          <w:lang w:val="es-MX"/>
        </w:rPr>
      </w:pPr>
    </w:p>
    <w:p w14:paraId="21341C22" w14:textId="4C6E6989" w:rsidR="00F53D23" w:rsidRDefault="00314A9F" w:rsidP="002037A6">
      <w:pPr>
        <w:rPr>
          <w:noProof/>
          <w:lang w:eastAsia="es-GT"/>
        </w:rPr>
      </w:pPr>
      <w:r w:rsidRPr="00314A9F">
        <w:drawing>
          <wp:inline distT="0" distB="0" distL="0" distR="0" wp14:anchorId="13CD12C4" wp14:editId="3C170D6E">
            <wp:extent cx="5816600" cy="301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7119" cy="3016519"/>
                    </a:xfrm>
                    <a:prstGeom prst="rect">
                      <a:avLst/>
                    </a:prstGeom>
                    <a:noFill/>
                    <a:ln>
                      <a:noFill/>
                    </a:ln>
                  </pic:spPr>
                </pic:pic>
              </a:graphicData>
            </a:graphic>
          </wp:inline>
        </w:drawing>
      </w:r>
    </w:p>
    <w:p w14:paraId="322E22FA" w14:textId="68206313" w:rsidR="00777707" w:rsidRDefault="00FE72C9" w:rsidP="00777707">
      <w:pPr>
        <w:jc w:val="both"/>
        <w:rPr>
          <w:rFonts w:ascii="Verdana" w:hAnsi="Verdana" w:cs="Arial"/>
          <w:lang w:val="es-MX"/>
        </w:rPr>
      </w:pPr>
      <w:r>
        <w:rPr>
          <w:rFonts w:ascii="Verdana" w:hAnsi="Verdana" w:cs="Arial"/>
          <w:lang w:val="es-MX"/>
        </w:rPr>
        <w:lastRenderedPageBreak/>
        <w:t>A nivel Institucional el</w:t>
      </w:r>
      <w:r w:rsidR="000F59D6">
        <w:rPr>
          <w:rFonts w:ascii="Verdana" w:hAnsi="Verdana" w:cs="Arial"/>
          <w:lang w:val="es-MX"/>
        </w:rPr>
        <w:t xml:space="preserve"> promedio de </w:t>
      </w:r>
      <w:r>
        <w:rPr>
          <w:rFonts w:ascii="Verdana" w:hAnsi="Verdana" w:cs="Arial"/>
          <w:lang w:val="es-MX"/>
        </w:rPr>
        <w:t xml:space="preserve">ejecución </w:t>
      </w:r>
      <w:r w:rsidR="000F59D6">
        <w:rPr>
          <w:rFonts w:ascii="Verdana" w:hAnsi="Verdana" w:cs="Arial"/>
          <w:lang w:val="es-MX"/>
        </w:rPr>
        <w:t xml:space="preserve">es de </w:t>
      </w:r>
      <w:r w:rsidR="00E54C13">
        <w:rPr>
          <w:rFonts w:ascii="Verdana" w:hAnsi="Verdana" w:cs="Arial"/>
          <w:lang w:val="es-MX"/>
        </w:rPr>
        <w:t>71.46</w:t>
      </w:r>
      <w:r w:rsidR="000F59D6">
        <w:rPr>
          <w:rFonts w:ascii="Verdana" w:hAnsi="Verdana" w:cs="Arial"/>
          <w:lang w:val="es-MX"/>
        </w:rPr>
        <w:t xml:space="preserve">% </w:t>
      </w:r>
      <w:r>
        <w:rPr>
          <w:rFonts w:ascii="Verdana" w:hAnsi="Verdana" w:cs="Arial"/>
          <w:lang w:val="es-MX"/>
        </w:rPr>
        <w:t xml:space="preserve">a </w:t>
      </w:r>
      <w:r w:rsidR="00E54C13">
        <w:rPr>
          <w:rFonts w:ascii="Verdana" w:hAnsi="Verdana" w:cs="Arial"/>
          <w:lang w:val="es-MX"/>
        </w:rPr>
        <w:t>noviembre</w:t>
      </w:r>
      <w:r>
        <w:rPr>
          <w:rFonts w:ascii="Verdana" w:hAnsi="Verdana" w:cs="Arial"/>
          <w:lang w:val="es-MX"/>
        </w:rPr>
        <w:t xml:space="preserve"> de 2024</w:t>
      </w:r>
      <w:r w:rsidR="000F59D6">
        <w:rPr>
          <w:rFonts w:ascii="Verdana" w:hAnsi="Verdana" w:cs="Arial"/>
          <w:lang w:val="es-MX"/>
        </w:rPr>
        <w:t>.</w:t>
      </w:r>
      <w:r w:rsidR="00B41395">
        <w:rPr>
          <w:rFonts w:ascii="Verdana" w:hAnsi="Verdana" w:cs="Arial"/>
          <w:lang w:val="es-MX"/>
        </w:rPr>
        <w:t xml:space="preserve"> </w:t>
      </w:r>
      <w:r>
        <w:rPr>
          <w:rFonts w:ascii="Verdana" w:hAnsi="Verdana" w:cs="Arial"/>
          <w:lang w:val="es-MX"/>
        </w:rPr>
        <w:t xml:space="preserve"> </w:t>
      </w:r>
      <w:r w:rsidR="000F59D6">
        <w:rPr>
          <w:rFonts w:ascii="Verdana" w:hAnsi="Verdana" w:cs="Arial"/>
          <w:lang w:val="es-MX"/>
        </w:rPr>
        <w:t>En e</w:t>
      </w:r>
      <w:r>
        <w:rPr>
          <w:rFonts w:ascii="Verdana" w:hAnsi="Verdana" w:cs="Arial"/>
          <w:lang w:val="es-MX"/>
        </w:rPr>
        <w:t xml:space="preserve">l cuadro No. 1 </w:t>
      </w:r>
      <w:r w:rsidR="009865A1">
        <w:rPr>
          <w:rFonts w:ascii="Verdana" w:hAnsi="Verdana" w:cs="Arial"/>
          <w:lang w:val="es-MX"/>
        </w:rPr>
        <w:t xml:space="preserve">se </w:t>
      </w:r>
      <w:r w:rsidR="00C458BC">
        <w:rPr>
          <w:rFonts w:ascii="Verdana" w:hAnsi="Verdana" w:cs="Arial"/>
          <w:lang w:val="es-MX"/>
        </w:rPr>
        <w:t>puede observar</w:t>
      </w:r>
      <w:r w:rsidR="009865A1">
        <w:rPr>
          <w:rFonts w:ascii="Verdana" w:hAnsi="Verdana" w:cs="Arial"/>
          <w:lang w:val="es-MX"/>
        </w:rPr>
        <w:t xml:space="preserve"> que la</w:t>
      </w:r>
      <w:r w:rsidR="000F59D6">
        <w:rPr>
          <w:rFonts w:ascii="Verdana" w:hAnsi="Verdana" w:cs="Arial"/>
          <w:lang w:val="es-MX"/>
        </w:rPr>
        <w:t>s</w:t>
      </w:r>
      <w:r w:rsidR="009865A1">
        <w:rPr>
          <w:rFonts w:ascii="Verdana" w:hAnsi="Verdana" w:cs="Arial"/>
          <w:lang w:val="es-MX"/>
        </w:rPr>
        <w:t xml:space="preserve"> Unidad</w:t>
      </w:r>
      <w:r w:rsidR="000F59D6">
        <w:rPr>
          <w:rFonts w:ascii="Verdana" w:hAnsi="Verdana" w:cs="Arial"/>
          <w:lang w:val="es-MX"/>
        </w:rPr>
        <w:t>es</w:t>
      </w:r>
      <w:r w:rsidR="009865A1">
        <w:rPr>
          <w:rFonts w:ascii="Verdana" w:hAnsi="Verdana" w:cs="Arial"/>
          <w:lang w:val="es-MX"/>
        </w:rPr>
        <w:t xml:space="preserve"> Ejecutora</w:t>
      </w:r>
      <w:r w:rsidR="000F59D6">
        <w:rPr>
          <w:rFonts w:ascii="Verdana" w:hAnsi="Verdana" w:cs="Arial"/>
          <w:lang w:val="es-MX"/>
        </w:rPr>
        <w:t>s</w:t>
      </w:r>
      <w:r w:rsidR="009865A1">
        <w:rPr>
          <w:rFonts w:ascii="Verdana" w:hAnsi="Verdana" w:cs="Arial"/>
          <w:lang w:val="es-MX"/>
        </w:rPr>
        <w:t xml:space="preserve"> </w:t>
      </w:r>
      <w:r w:rsidR="000F59D6">
        <w:rPr>
          <w:rFonts w:ascii="Verdana" w:hAnsi="Verdana" w:cs="Arial"/>
          <w:lang w:val="es-MX"/>
        </w:rPr>
        <w:t>que están por encima</w:t>
      </w:r>
      <w:r w:rsidR="005D0394">
        <w:rPr>
          <w:rFonts w:ascii="Verdana" w:hAnsi="Verdana" w:cs="Arial"/>
          <w:lang w:val="es-MX"/>
        </w:rPr>
        <w:t xml:space="preserve"> del promedio de ejecución son: </w:t>
      </w:r>
      <w:r w:rsidR="00AC0D7F">
        <w:rPr>
          <w:rFonts w:ascii="Verdana" w:hAnsi="Verdana" w:cs="Arial"/>
          <w:lang w:val="es-MX"/>
        </w:rPr>
        <w:t xml:space="preserve">            </w:t>
      </w:r>
      <w:r w:rsidR="00924F0D">
        <w:rPr>
          <w:rFonts w:ascii="Verdana" w:hAnsi="Verdana" w:cs="Arial"/>
          <w:lang w:val="es-MX"/>
        </w:rPr>
        <w:t>10</w:t>
      </w:r>
      <w:r w:rsidR="00AC0D7F">
        <w:rPr>
          <w:rFonts w:ascii="Verdana" w:hAnsi="Verdana" w:cs="Arial"/>
          <w:lang w:val="es-MX"/>
        </w:rPr>
        <w:t>1</w:t>
      </w:r>
      <w:r w:rsidR="00924F0D">
        <w:rPr>
          <w:rFonts w:ascii="Verdana" w:hAnsi="Verdana" w:cs="Arial"/>
          <w:lang w:val="es-MX"/>
        </w:rPr>
        <w:t xml:space="preserve"> Dirección Superior,</w:t>
      </w:r>
      <w:r w:rsidR="00AC0D7F">
        <w:rPr>
          <w:rFonts w:ascii="Verdana" w:hAnsi="Verdana" w:cs="Arial"/>
          <w:lang w:val="es-MX"/>
        </w:rPr>
        <w:t xml:space="preserve"> </w:t>
      </w:r>
      <w:r w:rsidR="00AC0D7F">
        <w:rPr>
          <w:rFonts w:ascii="Verdana" w:hAnsi="Verdana" w:cs="Arial"/>
          <w:lang w:val="es-MX"/>
        </w:rPr>
        <w:t>102 Registro Mercantil General de la República,</w:t>
      </w:r>
      <w:r w:rsidR="00AC0D7F">
        <w:rPr>
          <w:rFonts w:ascii="Verdana" w:hAnsi="Verdana" w:cs="Arial"/>
          <w:lang w:val="es-MX"/>
        </w:rPr>
        <w:t xml:space="preserve"> </w:t>
      </w:r>
      <w:r w:rsidR="00AC0D7F">
        <w:rPr>
          <w:rFonts w:ascii="Verdana" w:hAnsi="Verdana" w:cs="Arial"/>
          <w:lang w:val="es-MX"/>
        </w:rPr>
        <w:t>103 Registro de la Propiedad Intelectual,</w:t>
      </w:r>
      <w:r w:rsidR="00924F0D">
        <w:rPr>
          <w:rFonts w:ascii="Verdana" w:hAnsi="Verdana" w:cs="Arial"/>
          <w:lang w:val="es-MX"/>
        </w:rPr>
        <w:t xml:space="preserve"> </w:t>
      </w:r>
      <w:r w:rsidR="00777707">
        <w:rPr>
          <w:rFonts w:ascii="Verdana" w:hAnsi="Verdana" w:cs="Arial"/>
          <w:lang w:val="es-MX"/>
        </w:rPr>
        <w:t>104 Dirección del</w:t>
      </w:r>
      <w:r w:rsidR="00AC0D7F">
        <w:rPr>
          <w:rFonts w:ascii="Verdana" w:hAnsi="Verdana" w:cs="Arial"/>
          <w:lang w:val="es-MX"/>
        </w:rPr>
        <w:t xml:space="preserve"> Sistema Nacional de la Calidad y </w:t>
      </w:r>
      <w:r w:rsidR="00AC0D7F">
        <w:rPr>
          <w:rFonts w:ascii="Verdana" w:hAnsi="Verdana" w:cs="Arial"/>
          <w:lang w:val="es-MX"/>
        </w:rPr>
        <w:t>107 Unidad Ejecutora del Programa de Apoyo al Comercio Exterior y la Integración</w:t>
      </w:r>
      <w:r w:rsidR="00AC0D7F">
        <w:rPr>
          <w:rFonts w:ascii="Verdana" w:hAnsi="Verdana" w:cs="Arial"/>
          <w:lang w:val="es-MX"/>
        </w:rPr>
        <w:t xml:space="preserve">.  </w:t>
      </w:r>
      <w:r w:rsidR="00777707">
        <w:rPr>
          <w:rFonts w:ascii="Verdana" w:hAnsi="Verdana" w:cs="Arial"/>
          <w:lang w:val="es-MX"/>
        </w:rPr>
        <w:t xml:space="preserve">Las Unidades Ejecutoras </w:t>
      </w:r>
      <w:r w:rsidR="00AC0D7F">
        <w:rPr>
          <w:rFonts w:ascii="Verdana" w:hAnsi="Verdana" w:cs="Arial"/>
          <w:lang w:val="es-MX"/>
        </w:rPr>
        <w:t xml:space="preserve">                         </w:t>
      </w:r>
      <w:r w:rsidR="00AC0D7F">
        <w:rPr>
          <w:rFonts w:ascii="Verdana" w:hAnsi="Verdana" w:cs="Arial"/>
          <w:lang w:val="es-MX"/>
        </w:rPr>
        <w:t xml:space="preserve">105 Dirección de </w:t>
      </w:r>
      <w:r w:rsidR="00C71718">
        <w:rPr>
          <w:rFonts w:ascii="Verdana" w:hAnsi="Verdana" w:cs="Arial"/>
          <w:lang w:val="es-MX"/>
        </w:rPr>
        <w:t>Servicios Financieros y Técnico</w:t>
      </w:r>
      <w:r w:rsidR="00AC0D7F">
        <w:rPr>
          <w:rFonts w:ascii="Verdana" w:hAnsi="Verdana" w:cs="Arial"/>
          <w:lang w:val="es-MX"/>
        </w:rPr>
        <w:t xml:space="preserve"> </w:t>
      </w:r>
      <w:proofErr w:type="gramStart"/>
      <w:r w:rsidR="00AC0D7F">
        <w:rPr>
          <w:rFonts w:ascii="Verdana" w:hAnsi="Verdana" w:cs="Arial"/>
          <w:lang w:val="es-MX"/>
        </w:rPr>
        <w:t>Empresariales</w:t>
      </w:r>
      <w:r w:rsidR="00AC0D7F">
        <w:rPr>
          <w:rFonts w:ascii="Verdana" w:hAnsi="Verdana" w:cs="Arial"/>
          <w:lang w:val="es-MX"/>
        </w:rPr>
        <w:t>,</w:t>
      </w:r>
      <w:r w:rsidR="001D392D">
        <w:rPr>
          <w:rFonts w:ascii="Verdana" w:hAnsi="Verdana" w:cs="Arial"/>
          <w:lang w:val="es-MX"/>
        </w:rPr>
        <w:t xml:space="preserve"> </w:t>
      </w:r>
      <w:r w:rsidR="00AC0D7F">
        <w:rPr>
          <w:rFonts w:ascii="Verdana" w:hAnsi="Verdana" w:cs="Arial"/>
          <w:lang w:val="es-MX"/>
        </w:rPr>
        <w:t xml:space="preserve">  </w:t>
      </w:r>
      <w:proofErr w:type="gramEnd"/>
      <w:r w:rsidR="00AC0D7F">
        <w:rPr>
          <w:rFonts w:ascii="Verdana" w:hAnsi="Verdana" w:cs="Arial"/>
          <w:lang w:val="es-MX"/>
        </w:rPr>
        <w:t xml:space="preserve">                </w:t>
      </w:r>
      <w:r w:rsidR="001D392D">
        <w:rPr>
          <w:rFonts w:ascii="Verdana" w:hAnsi="Verdana" w:cs="Arial"/>
          <w:lang w:val="es-MX"/>
        </w:rPr>
        <w:t xml:space="preserve">106 Dirección de Atención y Asistencia al Consumidor </w:t>
      </w:r>
      <w:r w:rsidR="00777707">
        <w:rPr>
          <w:rFonts w:ascii="Verdana" w:hAnsi="Verdana" w:cs="Arial"/>
          <w:lang w:val="es-MX"/>
        </w:rPr>
        <w:t>y 108 Programa Nacional de Competitividad se encuentran por debajo d</w:t>
      </w:r>
      <w:r w:rsidR="00AC0D7F">
        <w:rPr>
          <w:rFonts w:ascii="Verdana" w:hAnsi="Verdana" w:cs="Arial"/>
          <w:lang w:val="es-MX"/>
        </w:rPr>
        <w:t>el porcentaje promedio a noviembre</w:t>
      </w:r>
      <w:r w:rsidR="00777707">
        <w:rPr>
          <w:rFonts w:ascii="Verdana" w:hAnsi="Verdana" w:cs="Arial"/>
          <w:lang w:val="es-MX"/>
        </w:rPr>
        <w:t xml:space="preserve"> de 2024.</w:t>
      </w:r>
    </w:p>
    <w:p w14:paraId="4DD2B8F5" w14:textId="6F6960CC" w:rsidR="00CD176E" w:rsidRDefault="00CD176E" w:rsidP="001F3B22">
      <w:pPr>
        <w:rPr>
          <w:rFonts w:ascii="Verdana" w:hAnsi="Verdana" w:cs="Arial"/>
          <w:lang w:val="es-MX"/>
        </w:rPr>
      </w:pPr>
    </w:p>
    <w:p w14:paraId="1A9DF944" w14:textId="0C1710ED" w:rsidR="00E527C2" w:rsidRDefault="00E527C2" w:rsidP="00E527C2">
      <w:pPr>
        <w:jc w:val="center"/>
        <w:rPr>
          <w:rFonts w:ascii="Verdana" w:hAnsi="Verdana" w:cs="Arial"/>
          <w:b/>
          <w:lang w:val="es-MX"/>
        </w:rPr>
      </w:pPr>
      <w:r>
        <w:rPr>
          <w:rFonts w:ascii="Verdana" w:hAnsi="Verdana" w:cs="Arial"/>
          <w:b/>
          <w:lang w:val="es-MX"/>
        </w:rPr>
        <w:t>Cuadro No. 2</w:t>
      </w:r>
    </w:p>
    <w:p w14:paraId="39705715" w14:textId="77777777" w:rsidR="00E527C2" w:rsidRPr="0010018F" w:rsidRDefault="00E527C2" w:rsidP="00E527C2">
      <w:pPr>
        <w:jc w:val="center"/>
        <w:rPr>
          <w:rFonts w:ascii="Verdana" w:hAnsi="Verdana" w:cs="Arial"/>
          <w:b/>
          <w:lang w:val="es-MX"/>
        </w:rPr>
      </w:pPr>
      <w:r w:rsidRPr="0010018F">
        <w:rPr>
          <w:rFonts w:ascii="Verdana" w:hAnsi="Verdana" w:cs="Arial"/>
          <w:b/>
          <w:lang w:val="es-MX"/>
        </w:rPr>
        <w:t>Viceministerio Administrativo y Financiero</w:t>
      </w:r>
    </w:p>
    <w:p w14:paraId="25C98F01" w14:textId="41C967E3" w:rsidR="00E527C2" w:rsidRDefault="00E527C2" w:rsidP="00E527C2">
      <w:pPr>
        <w:jc w:val="center"/>
        <w:rPr>
          <w:rFonts w:ascii="Verdana" w:hAnsi="Verdana" w:cs="Arial"/>
          <w:b/>
          <w:lang w:val="es-MX"/>
        </w:rPr>
      </w:pPr>
      <w:r>
        <w:rPr>
          <w:rFonts w:ascii="Verdana" w:hAnsi="Verdana" w:cs="Arial"/>
          <w:b/>
          <w:lang w:val="es-MX"/>
        </w:rPr>
        <w:t>Comparativo Ejecución por Unidades Ejecutoras</w:t>
      </w:r>
    </w:p>
    <w:p w14:paraId="66A33CB7" w14:textId="6D5DEA5D" w:rsidR="00E527C2" w:rsidRDefault="00E527C2" w:rsidP="00E527C2">
      <w:pPr>
        <w:jc w:val="center"/>
        <w:rPr>
          <w:rFonts w:ascii="Verdana" w:hAnsi="Verdana" w:cs="Arial"/>
          <w:b/>
          <w:lang w:val="es-MX"/>
        </w:rPr>
      </w:pPr>
      <w:r>
        <w:rPr>
          <w:rFonts w:ascii="Verdana" w:hAnsi="Verdana" w:cs="Arial"/>
          <w:b/>
          <w:lang w:val="es-MX"/>
        </w:rPr>
        <w:t xml:space="preserve">A </w:t>
      </w:r>
      <w:r w:rsidR="00DD5D8A">
        <w:rPr>
          <w:rFonts w:ascii="Verdana" w:hAnsi="Verdana" w:cs="Arial"/>
          <w:b/>
          <w:lang w:val="es-MX"/>
        </w:rPr>
        <w:t>noviembre</w:t>
      </w:r>
      <w:r>
        <w:rPr>
          <w:rFonts w:ascii="Verdana" w:hAnsi="Verdana" w:cs="Arial"/>
          <w:b/>
          <w:lang w:val="es-MX"/>
        </w:rPr>
        <w:t xml:space="preserve"> 2023 – 2024</w:t>
      </w:r>
    </w:p>
    <w:p w14:paraId="4038EC61" w14:textId="5E6AF024" w:rsidR="00E527C2" w:rsidRDefault="00E527C2" w:rsidP="00E527C2">
      <w:pPr>
        <w:jc w:val="center"/>
        <w:rPr>
          <w:rFonts w:ascii="Verdana" w:hAnsi="Verdana" w:cs="Arial"/>
          <w:b/>
          <w:lang w:val="es-MX"/>
        </w:rPr>
      </w:pPr>
      <w:r>
        <w:rPr>
          <w:rFonts w:ascii="Verdana" w:hAnsi="Verdana" w:cs="Arial"/>
          <w:b/>
          <w:lang w:val="es-MX"/>
        </w:rPr>
        <w:t>(Montos en quetzales)</w:t>
      </w:r>
    </w:p>
    <w:p w14:paraId="478B6EEB" w14:textId="77777777" w:rsidR="00EB68FD" w:rsidRPr="00EB68FD" w:rsidRDefault="00EB68FD" w:rsidP="00EB68FD">
      <w:pPr>
        <w:rPr>
          <w:rFonts w:ascii="Verdana" w:hAnsi="Verdana" w:cs="Arial"/>
          <w:b/>
          <w:sz w:val="20"/>
          <w:lang w:val="es-MX"/>
        </w:rPr>
      </w:pPr>
    </w:p>
    <w:p w14:paraId="5072B46E" w14:textId="0ACA2A30" w:rsidR="00E527C2" w:rsidRDefault="00DD5D8A" w:rsidP="001F3B22">
      <w:pPr>
        <w:rPr>
          <w:rFonts w:ascii="Verdana" w:hAnsi="Verdana" w:cs="Arial"/>
          <w:lang w:val="es-MX"/>
        </w:rPr>
      </w:pPr>
      <w:r w:rsidRPr="00DD5D8A">
        <w:drawing>
          <wp:inline distT="0" distB="0" distL="0" distR="0" wp14:anchorId="3D6141A1" wp14:editId="1A305365">
            <wp:extent cx="5611981" cy="272415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8450" cy="2727290"/>
                    </a:xfrm>
                    <a:prstGeom prst="rect">
                      <a:avLst/>
                    </a:prstGeom>
                    <a:noFill/>
                    <a:ln>
                      <a:noFill/>
                    </a:ln>
                  </pic:spPr>
                </pic:pic>
              </a:graphicData>
            </a:graphic>
          </wp:inline>
        </w:drawing>
      </w:r>
    </w:p>
    <w:p w14:paraId="28A63096" w14:textId="77777777" w:rsidR="004D1059" w:rsidRDefault="004D1059" w:rsidP="0007373E">
      <w:pPr>
        <w:jc w:val="both"/>
        <w:rPr>
          <w:rFonts w:ascii="Verdana" w:hAnsi="Verdana" w:cs="Arial"/>
          <w:lang w:val="es-MX"/>
        </w:rPr>
      </w:pPr>
    </w:p>
    <w:p w14:paraId="437E8511" w14:textId="0D684BD2" w:rsidR="00E527C2" w:rsidRDefault="0007373E" w:rsidP="0007373E">
      <w:pPr>
        <w:jc w:val="both"/>
        <w:rPr>
          <w:rFonts w:ascii="Verdana" w:hAnsi="Verdana" w:cs="Arial"/>
          <w:lang w:val="es-MX"/>
        </w:rPr>
      </w:pPr>
      <w:r>
        <w:rPr>
          <w:rFonts w:ascii="Verdana" w:hAnsi="Verdana" w:cs="Arial"/>
          <w:lang w:val="es-MX"/>
        </w:rPr>
        <w:t xml:space="preserve">En el cuadro No. 2 se refleja un significativo aumento en la ejecución </w:t>
      </w:r>
      <w:r w:rsidR="00FB0F0E">
        <w:rPr>
          <w:rFonts w:ascii="Verdana" w:hAnsi="Verdana" w:cs="Arial"/>
          <w:lang w:val="es-MX"/>
        </w:rPr>
        <w:t xml:space="preserve">presupuestaria </w:t>
      </w:r>
      <w:r>
        <w:rPr>
          <w:rFonts w:ascii="Verdana" w:hAnsi="Verdana" w:cs="Arial"/>
          <w:lang w:val="es-MX"/>
        </w:rPr>
        <w:t>en el 2023</w:t>
      </w:r>
      <w:r w:rsidR="004D1059">
        <w:rPr>
          <w:rFonts w:ascii="Verdana" w:hAnsi="Verdana" w:cs="Arial"/>
          <w:lang w:val="es-MX"/>
        </w:rPr>
        <w:t xml:space="preserve"> con relación al 2024</w:t>
      </w:r>
      <w:r>
        <w:rPr>
          <w:rFonts w:ascii="Verdana" w:hAnsi="Verdana" w:cs="Arial"/>
          <w:lang w:val="es-MX"/>
        </w:rPr>
        <w:t xml:space="preserve">, </w:t>
      </w:r>
      <w:r w:rsidR="004D1059">
        <w:rPr>
          <w:rFonts w:ascii="Verdana" w:hAnsi="Verdana" w:cs="Arial"/>
          <w:lang w:val="es-MX"/>
        </w:rPr>
        <w:t>principalmente por la ejecución</w:t>
      </w:r>
      <w:r>
        <w:rPr>
          <w:rFonts w:ascii="Verdana" w:hAnsi="Verdana" w:cs="Arial"/>
          <w:lang w:val="es-MX"/>
        </w:rPr>
        <w:t xml:space="preserve"> del Fondo de Becas</w:t>
      </w:r>
      <w:r w:rsidR="0046250B">
        <w:rPr>
          <w:rFonts w:ascii="Verdana" w:hAnsi="Verdana" w:cs="Arial"/>
          <w:lang w:val="es-MX"/>
        </w:rPr>
        <w:t xml:space="preserve"> por la cantidad de Q70,000,000.00</w:t>
      </w:r>
      <w:r>
        <w:rPr>
          <w:rFonts w:ascii="Verdana" w:hAnsi="Verdana" w:cs="Arial"/>
          <w:lang w:val="es-MX"/>
        </w:rPr>
        <w:t xml:space="preserve"> en la Unidad Ejecutora 105 Dirección de Servicios Financieros y Técnico Empresa</w:t>
      </w:r>
      <w:r w:rsidR="00993A19">
        <w:rPr>
          <w:rFonts w:ascii="Verdana" w:hAnsi="Verdana" w:cs="Arial"/>
          <w:lang w:val="es-MX"/>
        </w:rPr>
        <w:t>riales, de conformidad con el Decreto Número 54-2022 Ley del Presupuesto General de Ingresos y Egresos del Estado para el Ejercicio Fiscal Dos Mil Veintitrés,</w:t>
      </w:r>
      <w:r w:rsidR="000F5F60">
        <w:rPr>
          <w:rFonts w:ascii="Verdana" w:hAnsi="Verdana" w:cs="Arial"/>
          <w:lang w:val="es-MX"/>
        </w:rPr>
        <w:t xml:space="preserve"> Art</w:t>
      </w:r>
      <w:r w:rsidR="004D1059">
        <w:rPr>
          <w:rFonts w:ascii="Verdana" w:hAnsi="Verdana" w:cs="Arial"/>
          <w:lang w:val="es-MX"/>
        </w:rPr>
        <w:t>í</w:t>
      </w:r>
      <w:r w:rsidR="000F5F60">
        <w:rPr>
          <w:rFonts w:ascii="Verdana" w:hAnsi="Verdana" w:cs="Arial"/>
          <w:lang w:val="es-MX"/>
        </w:rPr>
        <w:t>culo 108 Fondo de Becas.</w:t>
      </w:r>
    </w:p>
    <w:p w14:paraId="08830A55" w14:textId="7EF6BC1F" w:rsidR="004D1059" w:rsidRDefault="004D1059" w:rsidP="004D1059">
      <w:pPr>
        <w:jc w:val="both"/>
        <w:rPr>
          <w:rFonts w:ascii="Verdana" w:hAnsi="Verdana" w:cs="Arial"/>
          <w:lang w:val="es-MX"/>
        </w:rPr>
      </w:pPr>
      <w:r w:rsidRPr="004D1059">
        <w:rPr>
          <w:rFonts w:ascii="Verdana" w:hAnsi="Verdana" w:cs="Arial"/>
          <w:lang w:val="es-MX"/>
        </w:rPr>
        <w:lastRenderedPageBreak/>
        <w:t>En el caso de la Unidad Ejecutora 10</w:t>
      </w:r>
      <w:r w:rsidR="00BC4146">
        <w:rPr>
          <w:rFonts w:ascii="Verdana" w:hAnsi="Verdana" w:cs="Arial"/>
          <w:lang w:val="es-MX"/>
        </w:rPr>
        <w:t>4 Dirección del Sistema Nacional de la Calidad</w:t>
      </w:r>
      <w:r w:rsidRPr="004D1059">
        <w:rPr>
          <w:rFonts w:ascii="Verdana" w:hAnsi="Verdana" w:cs="Arial"/>
          <w:lang w:val="es-MX"/>
        </w:rPr>
        <w:t>, refleja mayor porcentaje de ejecución</w:t>
      </w:r>
      <w:r w:rsidR="00BC4146">
        <w:rPr>
          <w:rFonts w:ascii="Verdana" w:hAnsi="Verdana" w:cs="Arial"/>
          <w:lang w:val="es-MX"/>
        </w:rPr>
        <w:t xml:space="preserve"> a noviembre</w:t>
      </w:r>
      <w:r w:rsidRPr="004D1059">
        <w:rPr>
          <w:rFonts w:ascii="Verdana" w:hAnsi="Verdana" w:cs="Arial"/>
          <w:lang w:val="es-MX"/>
        </w:rPr>
        <w:t xml:space="preserve"> 2024</w:t>
      </w:r>
      <w:r w:rsidR="00037CDE">
        <w:rPr>
          <w:rFonts w:ascii="Verdana" w:hAnsi="Verdana" w:cs="Arial"/>
          <w:lang w:val="es-MX"/>
        </w:rPr>
        <w:t xml:space="preserve"> con el </w:t>
      </w:r>
      <w:r w:rsidR="00BC4146">
        <w:rPr>
          <w:rFonts w:ascii="Verdana" w:hAnsi="Verdana" w:cs="Arial"/>
          <w:lang w:val="es-MX"/>
        </w:rPr>
        <w:t>82.57</w:t>
      </w:r>
      <w:r w:rsidR="00037CDE">
        <w:rPr>
          <w:rFonts w:ascii="Verdana" w:hAnsi="Verdana" w:cs="Arial"/>
          <w:lang w:val="es-MX"/>
        </w:rPr>
        <w:t>%</w:t>
      </w:r>
      <w:r w:rsidRPr="004D1059">
        <w:rPr>
          <w:rFonts w:ascii="Verdana" w:hAnsi="Verdana" w:cs="Arial"/>
          <w:lang w:val="es-MX"/>
        </w:rPr>
        <w:t xml:space="preserve">, derivado a que </w:t>
      </w:r>
      <w:r w:rsidR="00BC4146">
        <w:rPr>
          <w:rFonts w:ascii="Verdana" w:hAnsi="Verdana" w:cs="Arial"/>
          <w:lang w:val="es-MX"/>
        </w:rPr>
        <w:t>han ejecutado su presupuesto conforme a lo establecido en el Plan Anual de Compras</w:t>
      </w:r>
      <w:r w:rsidRPr="004D1059">
        <w:rPr>
          <w:rFonts w:ascii="Verdana" w:hAnsi="Verdana" w:cs="Arial"/>
          <w:lang w:val="es-MX"/>
        </w:rPr>
        <w:t>, lo cual ha permitido alcanzar el porcentaje más alto de ejecución a nivel Institucional.</w:t>
      </w:r>
    </w:p>
    <w:p w14:paraId="64C7F951" w14:textId="492F4761" w:rsidR="00810684" w:rsidRDefault="00810684" w:rsidP="001F3B22">
      <w:pPr>
        <w:rPr>
          <w:rFonts w:ascii="Verdana" w:hAnsi="Verdana" w:cs="Arial"/>
          <w:lang w:val="es-MX"/>
        </w:rPr>
      </w:pPr>
    </w:p>
    <w:p w14:paraId="205C3186" w14:textId="335F0B9E" w:rsidR="004A3293" w:rsidRPr="0010018F" w:rsidRDefault="004A3293" w:rsidP="004A3293">
      <w:pPr>
        <w:jc w:val="center"/>
        <w:rPr>
          <w:rFonts w:ascii="Verdana" w:hAnsi="Verdana" w:cs="Arial"/>
          <w:b/>
          <w:lang w:val="es-MX"/>
        </w:rPr>
      </w:pPr>
      <w:r>
        <w:rPr>
          <w:rFonts w:ascii="Verdana" w:hAnsi="Verdana" w:cs="Arial"/>
          <w:b/>
          <w:lang w:val="es-MX"/>
        </w:rPr>
        <w:t>Cuadro No. 3</w:t>
      </w:r>
    </w:p>
    <w:p w14:paraId="0BE495FC" w14:textId="73325936" w:rsidR="004A3293" w:rsidRPr="0010018F" w:rsidRDefault="004A3293" w:rsidP="004A3293">
      <w:pPr>
        <w:jc w:val="center"/>
        <w:rPr>
          <w:rFonts w:ascii="Verdana" w:hAnsi="Verdana" w:cs="Arial"/>
          <w:b/>
          <w:lang w:val="es-MX"/>
        </w:rPr>
      </w:pPr>
      <w:r w:rsidRPr="0010018F">
        <w:rPr>
          <w:rFonts w:ascii="Verdana" w:hAnsi="Verdana" w:cs="Arial"/>
          <w:b/>
          <w:lang w:val="es-MX"/>
        </w:rPr>
        <w:t>Viceministerio Administrativo y Financiero</w:t>
      </w:r>
    </w:p>
    <w:p w14:paraId="5B5A8FC7" w14:textId="05A1FF58" w:rsidR="004A3293" w:rsidRDefault="004A3293" w:rsidP="004A3293">
      <w:pPr>
        <w:jc w:val="center"/>
        <w:rPr>
          <w:rFonts w:ascii="Verdana" w:hAnsi="Verdana" w:cs="Arial"/>
          <w:b/>
          <w:lang w:val="es-MX"/>
        </w:rPr>
      </w:pPr>
      <w:r w:rsidRPr="0010018F">
        <w:rPr>
          <w:rFonts w:ascii="Verdana" w:hAnsi="Verdana" w:cs="Arial"/>
          <w:b/>
          <w:lang w:val="es-MX"/>
        </w:rPr>
        <w:t>Presupuesto por Dependencias y grupo de gasto</w:t>
      </w:r>
    </w:p>
    <w:p w14:paraId="3E2A1FB0" w14:textId="0FE73D2D" w:rsidR="004D1059" w:rsidRDefault="004A3293" w:rsidP="004D1059">
      <w:pPr>
        <w:jc w:val="center"/>
        <w:rPr>
          <w:rFonts w:ascii="Verdana" w:hAnsi="Verdana" w:cs="Arial"/>
          <w:b/>
          <w:lang w:val="es-MX"/>
        </w:rPr>
      </w:pPr>
      <w:r>
        <w:rPr>
          <w:rFonts w:ascii="Verdana" w:hAnsi="Verdana" w:cs="Arial"/>
          <w:b/>
          <w:lang w:val="es-MX"/>
        </w:rPr>
        <w:t>(Montos en quetzales)</w:t>
      </w:r>
    </w:p>
    <w:p w14:paraId="3522AAEF" w14:textId="7C99FA1D" w:rsidR="001668F5" w:rsidRDefault="0043486B" w:rsidP="004D1059">
      <w:pPr>
        <w:jc w:val="center"/>
        <w:rPr>
          <w:rFonts w:ascii="Verdana" w:hAnsi="Verdana" w:cs="Arial"/>
          <w:b/>
          <w:lang w:val="es-MX"/>
        </w:rPr>
      </w:pPr>
      <w:r w:rsidRPr="0043486B">
        <w:drawing>
          <wp:inline distT="0" distB="0" distL="0" distR="0" wp14:anchorId="6BCCFF2B" wp14:editId="1492F641">
            <wp:extent cx="5611495" cy="561975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314" cy="5621572"/>
                    </a:xfrm>
                    <a:prstGeom prst="rect">
                      <a:avLst/>
                    </a:prstGeom>
                    <a:noFill/>
                    <a:ln>
                      <a:noFill/>
                    </a:ln>
                  </pic:spPr>
                </pic:pic>
              </a:graphicData>
            </a:graphic>
          </wp:inline>
        </w:drawing>
      </w:r>
    </w:p>
    <w:p w14:paraId="37111AAA" w14:textId="68E91286" w:rsidR="00015DA6" w:rsidRDefault="002E4F60" w:rsidP="004D1059">
      <w:pPr>
        <w:jc w:val="both"/>
        <w:rPr>
          <w:rFonts w:ascii="Verdana" w:hAnsi="Verdana" w:cs="Arial"/>
          <w:lang w:val="es-MX"/>
        </w:rPr>
      </w:pPr>
      <w:r>
        <w:rPr>
          <w:rFonts w:ascii="Verdana" w:hAnsi="Verdana" w:cs="Arial"/>
          <w:lang w:val="es-MX"/>
        </w:rPr>
        <w:lastRenderedPageBreak/>
        <w:t>En el cuadro No. 3 se detalla las dependencias que integran la Unidad Ejecutora 101 Dirección Superior</w:t>
      </w:r>
      <w:r w:rsidR="00146B17">
        <w:rPr>
          <w:rFonts w:ascii="Verdana" w:hAnsi="Verdana" w:cs="Arial"/>
          <w:lang w:val="es-MX"/>
        </w:rPr>
        <w:t>,</w:t>
      </w:r>
      <w:r>
        <w:rPr>
          <w:rFonts w:ascii="Verdana" w:hAnsi="Verdana" w:cs="Arial"/>
          <w:lang w:val="es-MX"/>
        </w:rPr>
        <w:t xml:space="preserve"> </w:t>
      </w:r>
      <w:r w:rsidR="00A66C40">
        <w:rPr>
          <w:rFonts w:ascii="Verdana" w:hAnsi="Verdana" w:cs="Arial"/>
          <w:lang w:val="es-MX"/>
        </w:rPr>
        <w:t>d</w:t>
      </w:r>
      <w:r w:rsidR="00BD79F4">
        <w:rPr>
          <w:rFonts w:ascii="Verdana" w:hAnsi="Verdana" w:cs="Arial"/>
          <w:lang w:val="es-MX"/>
        </w:rPr>
        <w:t xml:space="preserve">el </w:t>
      </w:r>
      <w:r w:rsidR="00015DA6">
        <w:rPr>
          <w:rFonts w:ascii="Verdana" w:hAnsi="Verdana" w:cs="Arial"/>
          <w:lang w:val="es-MX"/>
        </w:rPr>
        <w:t>73.39</w:t>
      </w:r>
      <w:r w:rsidR="00BD79F4">
        <w:rPr>
          <w:rFonts w:ascii="Verdana" w:hAnsi="Verdana" w:cs="Arial"/>
          <w:lang w:val="es-MX"/>
        </w:rPr>
        <w:t xml:space="preserve">% promedio </w:t>
      </w:r>
      <w:r w:rsidR="00D42353">
        <w:rPr>
          <w:rFonts w:ascii="Verdana" w:hAnsi="Verdana" w:cs="Arial"/>
          <w:lang w:val="es-MX"/>
        </w:rPr>
        <w:t xml:space="preserve">de ejecución </w:t>
      </w:r>
      <w:r w:rsidR="00BD79F4">
        <w:rPr>
          <w:rFonts w:ascii="Verdana" w:hAnsi="Verdana" w:cs="Arial"/>
          <w:lang w:val="es-MX"/>
        </w:rPr>
        <w:t xml:space="preserve">presupuestaria a </w:t>
      </w:r>
      <w:r w:rsidR="00015DA6">
        <w:rPr>
          <w:rFonts w:ascii="Verdana" w:hAnsi="Verdana" w:cs="Arial"/>
          <w:lang w:val="es-MX"/>
        </w:rPr>
        <w:t>noviembre</w:t>
      </w:r>
      <w:r w:rsidR="00BD79F4">
        <w:rPr>
          <w:rFonts w:ascii="Verdana" w:hAnsi="Verdana" w:cs="Arial"/>
          <w:lang w:val="es-MX"/>
        </w:rPr>
        <w:t xml:space="preserve"> de 2024, </w:t>
      </w:r>
      <w:r w:rsidR="00015DA6">
        <w:rPr>
          <w:rFonts w:ascii="Verdana" w:hAnsi="Verdana" w:cs="Arial"/>
          <w:lang w:val="es-MX"/>
        </w:rPr>
        <w:t xml:space="preserve">el programa 99 Aportes y cuotas a organismos económicos y comerciales obtuvo el </w:t>
      </w:r>
      <w:r w:rsidR="00015DA6">
        <w:rPr>
          <w:rFonts w:ascii="Verdana" w:hAnsi="Verdana" w:cs="Arial"/>
          <w:lang w:val="es-MX"/>
        </w:rPr>
        <w:t>81.56</w:t>
      </w:r>
      <w:r w:rsidR="00015DA6">
        <w:rPr>
          <w:rFonts w:ascii="Verdana" w:hAnsi="Verdana" w:cs="Arial"/>
          <w:lang w:val="es-MX"/>
        </w:rPr>
        <w:t>% de ejecución y Aportes a organismos de investigación económica el 9</w:t>
      </w:r>
      <w:r w:rsidR="00015DA6">
        <w:rPr>
          <w:rFonts w:ascii="Verdana" w:hAnsi="Verdana" w:cs="Arial"/>
          <w:lang w:val="es-MX"/>
        </w:rPr>
        <w:t>8</w:t>
      </w:r>
      <w:r w:rsidR="00015DA6">
        <w:rPr>
          <w:rFonts w:ascii="Verdana" w:hAnsi="Verdana" w:cs="Arial"/>
          <w:lang w:val="es-MX"/>
        </w:rPr>
        <w:t>.9</w:t>
      </w:r>
      <w:r w:rsidR="00015DA6">
        <w:rPr>
          <w:rFonts w:ascii="Verdana" w:hAnsi="Verdana" w:cs="Arial"/>
          <w:lang w:val="es-MX"/>
        </w:rPr>
        <w:t>2</w:t>
      </w:r>
      <w:r w:rsidR="00015DA6">
        <w:rPr>
          <w:rFonts w:ascii="Verdana" w:hAnsi="Verdana" w:cs="Arial"/>
          <w:lang w:val="es-MX"/>
        </w:rPr>
        <w:t xml:space="preserve">% </w:t>
      </w:r>
      <w:r w:rsidR="00015DA6">
        <w:rPr>
          <w:rFonts w:ascii="Verdana" w:hAnsi="Verdana" w:cs="Arial"/>
          <w:lang w:val="es-MX"/>
        </w:rPr>
        <w:t xml:space="preserve">de </w:t>
      </w:r>
      <w:r w:rsidR="00015DA6">
        <w:rPr>
          <w:rFonts w:ascii="Verdana" w:hAnsi="Verdana" w:cs="Arial"/>
          <w:lang w:val="es-MX"/>
        </w:rPr>
        <w:t>ejecución, derivado al traslado de fondos a los Entes Receptores;</w:t>
      </w:r>
      <w:r w:rsidR="00015DA6">
        <w:rPr>
          <w:rFonts w:ascii="Verdana" w:hAnsi="Verdana" w:cs="Arial"/>
          <w:lang w:val="es-MX"/>
        </w:rPr>
        <w:t xml:space="preserve"> </w:t>
      </w:r>
      <w:r w:rsidR="00B65207">
        <w:rPr>
          <w:rFonts w:ascii="Verdana" w:hAnsi="Verdana" w:cs="Arial"/>
          <w:lang w:val="es-MX"/>
        </w:rPr>
        <w:t>sin embargo, las actividades Servicios de Dirección y Coordinación Superior, Servicios de Gestión y Financiamiento Externo, Servicios de Auditoría Interna</w:t>
      </w:r>
      <w:r w:rsidR="00B65207">
        <w:rPr>
          <w:rFonts w:ascii="Verdana" w:hAnsi="Verdana" w:cs="Arial"/>
          <w:lang w:val="es-MX"/>
        </w:rPr>
        <w:t>, Servicios Generales</w:t>
      </w:r>
      <w:r w:rsidR="00B65207">
        <w:rPr>
          <w:rFonts w:ascii="Verdana" w:hAnsi="Verdana" w:cs="Arial"/>
          <w:lang w:val="es-MX"/>
        </w:rPr>
        <w:t xml:space="preserve"> y Servicios de Formación con Perspectiva de Género no alcanzo el porcentaje promedio.</w:t>
      </w:r>
    </w:p>
    <w:p w14:paraId="4DBCEB2E" w14:textId="507898D0" w:rsidR="004A3293" w:rsidRDefault="008C5C54" w:rsidP="004D1059">
      <w:pPr>
        <w:jc w:val="both"/>
        <w:rPr>
          <w:rFonts w:ascii="Verdana" w:hAnsi="Verdana" w:cs="Arial"/>
          <w:lang w:val="es-MX"/>
        </w:rPr>
      </w:pPr>
      <w:r>
        <w:rPr>
          <w:rFonts w:ascii="Verdana" w:hAnsi="Verdana" w:cs="Arial"/>
          <w:lang w:val="es-MX"/>
        </w:rPr>
        <w:t xml:space="preserve"> </w:t>
      </w:r>
    </w:p>
    <w:p w14:paraId="5893F9CF" w14:textId="3FE367D2" w:rsidR="00CD091D" w:rsidRDefault="00CD091D" w:rsidP="001F3B22">
      <w:pPr>
        <w:rPr>
          <w:rFonts w:ascii="Verdana" w:hAnsi="Verdana" w:cs="Arial"/>
          <w:lang w:val="es-MX"/>
        </w:rPr>
      </w:pPr>
    </w:p>
    <w:p w14:paraId="644D5213" w14:textId="57A0F477" w:rsidR="00BC5513" w:rsidRPr="0010018F" w:rsidRDefault="00BC5513" w:rsidP="00BC5513">
      <w:pPr>
        <w:jc w:val="center"/>
        <w:rPr>
          <w:rFonts w:ascii="Verdana" w:hAnsi="Verdana" w:cs="Arial"/>
          <w:b/>
          <w:lang w:val="es-MX"/>
        </w:rPr>
      </w:pPr>
      <w:r>
        <w:rPr>
          <w:rFonts w:ascii="Verdana" w:hAnsi="Verdana" w:cs="Arial"/>
          <w:b/>
          <w:lang w:val="es-MX"/>
        </w:rPr>
        <w:t>Cuadro</w:t>
      </w:r>
      <w:r w:rsidR="00A0320B">
        <w:rPr>
          <w:rFonts w:ascii="Verdana" w:hAnsi="Verdana" w:cs="Arial"/>
          <w:b/>
          <w:lang w:val="es-MX"/>
        </w:rPr>
        <w:t xml:space="preserve"> No. 4</w:t>
      </w:r>
    </w:p>
    <w:p w14:paraId="0552A1B9" w14:textId="02860901" w:rsidR="00BC5513" w:rsidRPr="0010018F" w:rsidRDefault="00BC5513" w:rsidP="00BC5513">
      <w:pPr>
        <w:jc w:val="center"/>
        <w:rPr>
          <w:rFonts w:ascii="Verdana" w:hAnsi="Verdana" w:cs="Arial"/>
          <w:b/>
          <w:lang w:val="es-MX"/>
        </w:rPr>
      </w:pPr>
      <w:r w:rsidRPr="0010018F">
        <w:rPr>
          <w:rFonts w:ascii="Verdana" w:hAnsi="Verdana" w:cs="Arial"/>
          <w:b/>
          <w:lang w:val="es-MX"/>
        </w:rPr>
        <w:t>Viceministerio Administrativo y Financiero</w:t>
      </w:r>
    </w:p>
    <w:p w14:paraId="4E12E6E9" w14:textId="37C95F0A" w:rsidR="00BC5513" w:rsidRDefault="00BC5513" w:rsidP="00BC5513">
      <w:pPr>
        <w:jc w:val="center"/>
        <w:rPr>
          <w:rFonts w:ascii="Verdana" w:hAnsi="Verdana" w:cs="Arial"/>
          <w:b/>
          <w:lang w:val="es-MX"/>
        </w:rPr>
      </w:pPr>
      <w:r w:rsidRPr="0010018F">
        <w:rPr>
          <w:rFonts w:ascii="Verdana" w:hAnsi="Verdana" w:cs="Arial"/>
          <w:b/>
          <w:lang w:val="es-MX"/>
        </w:rPr>
        <w:t>Ejecución Presupuestaria</w:t>
      </w:r>
      <w:r>
        <w:rPr>
          <w:rFonts w:ascii="Verdana" w:hAnsi="Verdana" w:cs="Arial"/>
          <w:b/>
          <w:lang w:val="es-MX"/>
        </w:rPr>
        <w:t xml:space="preserve"> por Grupo de Gasto</w:t>
      </w:r>
    </w:p>
    <w:p w14:paraId="73B48CF5" w14:textId="7170209B" w:rsidR="00CD5925" w:rsidRDefault="00CD5925" w:rsidP="00BC5513">
      <w:pPr>
        <w:jc w:val="center"/>
        <w:rPr>
          <w:rFonts w:ascii="Verdana" w:hAnsi="Verdana" w:cs="Arial"/>
          <w:b/>
          <w:lang w:val="es-MX"/>
        </w:rPr>
      </w:pPr>
      <w:r>
        <w:rPr>
          <w:rFonts w:ascii="Verdana" w:hAnsi="Verdana" w:cs="Arial"/>
          <w:b/>
          <w:lang w:val="es-MX"/>
        </w:rPr>
        <w:t>(Montos en quetzales)</w:t>
      </w:r>
    </w:p>
    <w:p w14:paraId="792F3117" w14:textId="261EB0F1" w:rsidR="002B156A" w:rsidRPr="00CD5925" w:rsidRDefault="002B156A" w:rsidP="001F3B22">
      <w:pPr>
        <w:rPr>
          <w:rFonts w:ascii="Verdana" w:hAnsi="Verdana" w:cs="Arial"/>
          <w:sz w:val="16"/>
          <w:lang w:val="es-MX"/>
        </w:rPr>
      </w:pPr>
    </w:p>
    <w:p w14:paraId="0ED4EE0C" w14:textId="694D5909" w:rsidR="00BC5513" w:rsidRDefault="00472A92" w:rsidP="001F3B22">
      <w:pPr>
        <w:rPr>
          <w:rFonts w:ascii="Verdana" w:hAnsi="Verdana" w:cs="Arial"/>
          <w:lang w:val="es-MX"/>
        </w:rPr>
      </w:pPr>
      <w:r w:rsidRPr="00472A92">
        <w:drawing>
          <wp:inline distT="0" distB="0" distL="0" distR="0" wp14:anchorId="505B27CA" wp14:editId="3922ECBD">
            <wp:extent cx="5612130" cy="2857383"/>
            <wp:effectExtent l="0" t="0" r="762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857383"/>
                    </a:xfrm>
                    <a:prstGeom prst="rect">
                      <a:avLst/>
                    </a:prstGeom>
                    <a:noFill/>
                    <a:ln>
                      <a:noFill/>
                    </a:ln>
                  </pic:spPr>
                </pic:pic>
              </a:graphicData>
            </a:graphic>
          </wp:inline>
        </w:drawing>
      </w:r>
    </w:p>
    <w:p w14:paraId="125E67CA" w14:textId="77777777" w:rsidR="00BC5513" w:rsidRPr="00534D5B" w:rsidRDefault="00BC5513" w:rsidP="001F3B22">
      <w:pPr>
        <w:rPr>
          <w:rFonts w:ascii="Verdana" w:hAnsi="Verdana" w:cs="Arial"/>
          <w:lang w:val="es-MX"/>
        </w:rPr>
      </w:pPr>
    </w:p>
    <w:p w14:paraId="41EFBE29" w14:textId="0E7F1CEC" w:rsidR="00B91F65" w:rsidRDefault="00D42353" w:rsidP="003C58C1">
      <w:pPr>
        <w:jc w:val="both"/>
        <w:rPr>
          <w:rFonts w:ascii="Verdana" w:hAnsi="Verdana" w:cs="Arial"/>
          <w:lang w:val="es-MX"/>
        </w:rPr>
      </w:pPr>
      <w:r>
        <w:rPr>
          <w:rFonts w:ascii="Verdana" w:hAnsi="Verdana" w:cs="Arial"/>
          <w:lang w:val="es-MX"/>
        </w:rPr>
        <w:t xml:space="preserve">La ejecución presupuestaria </w:t>
      </w:r>
      <w:r w:rsidR="00B91F65">
        <w:rPr>
          <w:rFonts w:ascii="Verdana" w:hAnsi="Verdana" w:cs="Arial"/>
          <w:lang w:val="es-MX"/>
        </w:rPr>
        <w:t>por grupo de gasto</w:t>
      </w:r>
      <w:r>
        <w:rPr>
          <w:rFonts w:ascii="Verdana" w:hAnsi="Verdana" w:cs="Arial"/>
          <w:lang w:val="es-MX"/>
        </w:rPr>
        <w:t>, sus principales rubros de gastos son los siguientes</w:t>
      </w:r>
      <w:r w:rsidR="00FE45FE">
        <w:rPr>
          <w:rFonts w:ascii="Verdana" w:hAnsi="Verdana" w:cs="Arial"/>
          <w:lang w:val="es-MX"/>
        </w:rPr>
        <w:t>:</w:t>
      </w:r>
    </w:p>
    <w:p w14:paraId="3CDC90C2" w14:textId="30F3FF26" w:rsidR="005D6DD8" w:rsidRDefault="00B91F65" w:rsidP="005D6DD8">
      <w:pPr>
        <w:pStyle w:val="Prrafodelista"/>
        <w:numPr>
          <w:ilvl w:val="0"/>
          <w:numId w:val="1"/>
        </w:numPr>
        <w:jc w:val="both"/>
        <w:rPr>
          <w:rFonts w:ascii="Verdana" w:hAnsi="Verdana" w:cs="Arial"/>
          <w:lang w:val="es-MX"/>
        </w:rPr>
      </w:pPr>
      <w:r w:rsidRPr="005D6DD8">
        <w:rPr>
          <w:rFonts w:ascii="Verdana" w:hAnsi="Verdana" w:cs="Arial"/>
          <w:lang w:val="es-MX"/>
        </w:rPr>
        <w:t xml:space="preserve">Grupo de gasto 000: </w:t>
      </w:r>
      <w:r w:rsidR="005D6DD8" w:rsidRPr="005D6DD8">
        <w:rPr>
          <w:rFonts w:ascii="Verdana" w:hAnsi="Verdana" w:cs="Arial"/>
          <w:lang w:val="es-MX"/>
        </w:rPr>
        <w:t>Pago de nómina de 79 personas bajo el renglón 011 por un valor de Q433,700.00 mensuales y 251 personas bajo el renglón 029 Q1,300,873.00 mensual y pago de tiempo extraordinario del personal permanente que labora en horario extraordinario por un valor de Q35,000.00 mensuales.</w:t>
      </w:r>
    </w:p>
    <w:p w14:paraId="262BBF07" w14:textId="05F17A14" w:rsidR="00B91F65" w:rsidRPr="005D6DD8" w:rsidRDefault="00B91F65" w:rsidP="00B069D4">
      <w:pPr>
        <w:pStyle w:val="Prrafodelista"/>
        <w:numPr>
          <w:ilvl w:val="0"/>
          <w:numId w:val="1"/>
        </w:numPr>
        <w:jc w:val="both"/>
        <w:rPr>
          <w:rFonts w:ascii="Verdana" w:hAnsi="Verdana" w:cs="Arial"/>
          <w:lang w:val="es-MX"/>
        </w:rPr>
      </w:pPr>
      <w:r w:rsidRPr="005D6DD8">
        <w:rPr>
          <w:rFonts w:ascii="Verdana" w:hAnsi="Verdana" w:cs="Arial"/>
          <w:lang w:val="es-MX"/>
        </w:rPr>
        <w:lastRenderedPageBreak/>
        <w:t xml:space="preserve">Grupo de gasto 100: </w:t>
      </w:r>
      <w:r w:rsidR="00B069D4" w:rsidRPr="00B069D4">
        <w:rPr>
          <w:rFonts w:ascii="Verdana" w:hAnsi="Verdana" w:cs="Arial"/>
          <w:lang w:val="es-MX"/>
        </w:rPr>
        <w:t>Pago de servicios básicos, limpieza, honorarios de servicios médicos (2 médicos)</w:t>
      </w:r>
      <w:r w:rsidR="00B72252">
        <w:rPr>
          <w:rFonts w:ascii="Verdana" w:hAnsi="Verdana" w:cs="Arial"/>
          <w:lang w:val="es-MX"/>
        </w:rPr>
        <w:t>,</w:t>
      </w:r>
      <w:r w:rsidR="00B069D4" w:rsidRPr="00B069D4">
        <w:rPr>
          <w:rFonts w:ascii="Verdana" w:hAnsi="Verdana" w:cs="Arial"/>
          <w:lang w:val="es-MX"/>
        </w:rPr>
        <w:t xml:space="preserve"> pagos mensuales derivado del contrato de arrendamiento de las oficinas que ocupa la Udaf en el edificio Tec</w:t>
      </w:r>
      <w:r w:rsidR="00B72252">
        <w:rPr>
          <w:rFonts w:ascii="Verdana" w:hAnsi="Verdana" w:cs="Arial"/>
          <w:lang w:val="es-MX"/>
        </w:rPr>
        <w:t>ú</w:t>
      </w:r>
      <w:r w:rsidR="00B069D4" w:rsidRPr="00B069D4">
        <w:rPr>
          <w:rFonts w:ascii="Verdana" w:hAnsi="Verdana" w:cs="Arial"/>
          <w:lang w:val="es-MX"/>
        </w:rPr>
        <w:t xml:space="preserve">n, arrendamiento de bodega de archivo e inventarios, bodega de resguardo </w:t>
      </w:r>
      <w:r w:rsidR="00B30213" w:rsidRPr="00B069D4">
        <w:rPr>
          <w:rFonts w:ascii="Verdana" w:hAnsi="Verdana" w:cs="Arial"/>
          <w:lang w:val="es-MX"/>
        </w:rPr>
        <w:t>vehículos</w:t>
      </w:r>
      <w:r w:rsidR="00B069D4" w:rsidRPr="00B069D4">
        <w:rPr>
          <w:rFonts w:ascii="Verdana" w:hAnsi="Verdana" w:cs="Arial"/>
          <w:lang w:val="es-MX"/>
        </w:rPr>
        <w:t xml:space="preserve"> en proceso de baja,  por un monto total mensual de Q83,000.00, pago de siete (7)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servicio de 44 aro</w:t>
      </w:r>
      <w:r w:rsidR="00B72252">
        <w:rPr>
          <w:rFonts w:ascii="Verdana" w:hAnsi="Verdana" w:cs="Arial"/>
          <w:lang w:val="es-MX"/>
        </w:rPr>
        <w:t>matizadores, 36 desodorizadores y 7 filtros para mingitorios</w:t>
      </w:r>
      <w:r w:rsidR="00B069D4" w:rsidRPr="00B069D4">
        <w:rPr>
          <w:rFonts w:ascii="Verdana" w:hAnsi="Verdana" w:cs="Arial"/>
          <w:lang w:val="es-MX"/>
        </w:rPr>
        <w:t xml:space="preserve"> para la Unidad </w:t>
      </w:r>
      <w:r w:rsidR="00B72252">
        <w:rPr>
          <w:rFonts w:ascii="Verdana" w:hAnsi="Verdana" w:cs="Arial"/>
          <w:lang w:val="es-MX"/>
        </w:rPr>
        <w:t>Ejecutora 101</w:t>
      </w:r>
      <w:r w:rsidR="00B069D4" w:rsidRPr="00B069D4">
        <w:rPr>
          <w:rFonts w:ascii="Verdana" w:hAnsi="Verdana" w:cs="Arial"/>
          <w:lang w:val="es-MX"/>
        </w:rPr>
        <w:t xml:space="preserve"> </w:t>
      </w:r>
      <w:r w:rsidR="00B72252" w:rsidRPr="00B069D4">
        <w:rPr>
          <w:rFonts w:ascii="Verdana" w:hAnsi="Verdana" w:cs="Arial"/>
          <w:lang w:val="es-MX"/>
        </w:rPr>
        <w:t>Dirección</w:t>
      </w:r>
      <w:r w:rsidR="00B069D4" w:rsidRPr="00B069D4">
        <w:rPr>
          <w:rFonts w:ascii="Verdana" w:hAnsi="Verdana" w:cs="Arial"/>
          <w:lang w:val="es-MX"/>
        </w:rPr>
        <w:t xml:space="preserve"> Superior del Edificio Central 8a avenida, 10-43, zona 1 Oficinas 35 y 36 Edificio Tecun 11 calle 8-14 Zona 1, servicio de fumigación de plagas, roedores (control de insectos rastreros y voladores) para el Edificio Central del Ministerio de </w:t>
      </w:r>
      <w:r w:rsidR="00D904D4" w:rsidRPr="00B069D4">
        <w:rPr>
          <w:rFonts w:ascii="Verdana" w:hAnsi="Verdana" w:cs="Arial"/>
          <w:lang w:val="es-MX"/>
        </w:rPr>
        <w:t>Economía</w:t>
      </w:r>
      <w:r w:rsidR="00D904D4">
        <w:rPr>
          <w:rFonts w:ascii="Verdana" w:hAnsi="Verdana" w:cs="Arial"/>
          <w:lang w:val="es-MX"/>
        </w:rPr>
        <w:t xml:space="preserve"> u</w:t>
      </w:r>
      <w:r w:rsidR="00B069D4" w:rsidRPr="00B069D4">
        <w:rPr>
          <w:rFonts w:ascii="Verdana" w:hAnsi="Verdana" w:cs="Arial"/>
          <w:lang w:val="es-MX"/>
        </w:rPr>
        <w:t xml:space="preserve">bicado en la 8a Avenida 10-43 zona 1, del 1ro al 6to nivel, baños, </w:t>
      </w:r>
      <w:r w:rsidR="00D904D4" w:rsidRPr="00B069D4">
        <w:rPr>
          <w:rFonts w:ascii="Verdana" w:hAnsi="Verdana" w:cs="Arial"/>
          <w:lang w:val="es-MX"/>
        </w:rPr>
        <w:t>áreas</w:t>
      </w:r>
      <w:r w:rsidR="00B069D4" w:rsidRPr="00B069D4">
        <w:rPr>
          <w:rFonts w:ascii="Verdana" w:hAnsi="Verdana" w:cs="Arial"/>
          <w:lang w:val="es-MX"/>
        </w:rPr>
        <w:t xml:space="preserve"> de deshechos, mezzanine, </w:t>
      </w:r>
      <w:r w:rsidR="00D904D4" w:rsidRPr="00B069D4">
        <w:rPr>
          <w:rFonts w:ascii="Verdana" w:hAnsi="Verdana" w:cs="Arial"/>
          <w:lang w:val="es-MX"/>
        </w:rPr>
        <w:t>mensajería</w:t>
      </w:r>
      <w:r w:rsidR="00D904D4">
        <w:rPr>
          <w:rFonts w:ascii="Verdana" w:hAnsi="Verdana" w:cs="Arial"/>
          <w:lang w:val="es-MX"/>
        </w:rPr>
        <w:t xml:space="preserve">, </w:t>
      </w:r>
      <w:r w:rsidR="00B069D4" w:rsidRPr="00B069D4">
        <w:rPr>
          <w:rFonts w:ascii="Verdana" w:hAnsi="Verdana" w:cs="Arial"/>
          <w:lang w:val="es-MX"/>
        </w:rPr>
        <w:t>cafetería, área de las oficinas de transportes ubicada en la 9a Avenida 11-34 zona 1, Edificio anexo del Ministerio 6ta Calle 6-57 zona 1,</w:t>
      </w:r>
      <w:r w:rsidR="00B30213">
        <w:rPr>
          <w:rFonts w:ascii="Verdana" w:hAnsi="Verdana" w:cs="Arial"/>
          <w:lang w:val="es-MX"/>
        </w:rPr>
        <w:t xml:space="preserve"> b</w:t>
      </w:r>
      <w:r w:rsidR="00B069D4" w:rsidRPr="00B069D4">
        <w:rPr>
          <w:rFonts w:ascii="Verdana" w:hAnsi="Verdana" w:cs="Arial"/>
          <w:lang w:val="es-MX"/>
        </w:rPr>
        <w:t>odega zona 1, ubica</w:t>
      </w:r>
      <w:r w:rsidR="00D904D4">
        <w:rPr>
          <w:rFonts w:ascii="Verdana" w:hAnsi="Verdana" w:cs="Arial"/>
          <w:lang w:val="es-MX"/>
        </w:rPr>
        <w:t>da en la 20 calle 6-57 zona 1, s</w:t>
      </w:r>
      <w:r w:rsidR="00B069D4" w:rsidRPr="00B069D4">
        <w:rPr>
          <w:rFonts w:ascii="Verdana" w:hAnsi="Verdana" w:cs="Arial"/>
          <w:lang w:val="es-MX"/>
        </w:rPr>
        <w:t xml:space="preserve">egundo nivel Oficina No. 26 de la Contraloría General de Cuentas, tercer nivel, oficina 35 y 36, Dirección de Desarrollo Institucional, Departamento de Planificación y Control de Gestión, </w:t>
      </w:r>
      <w:r w:rsidR="00D904D4" w:rsidRPr="00B069D4">
        <w:rPr>
          <w:rFonts w:ascii="Verdana" w:hAnsi="Verdana" w:cs="Arial"/>
          <w:lang w:val="es-MX"/>
        </w:rPr>
        <w:t>Órgano</w:t>
      </w:r>
      <w:r w:rsidR="00B069D4" w:rsidRPr="00B069D4">
        <w:rPr>
          <w:rFonts w:ascii="Verdana" w:hAnsi="Verdana" w:cs="Arial"/>
          <w:lang w:val="es-MX"/>
        </w:rPr>
        <w:t xml:space="preserve"> de Genero, Pueblos </w:t>
      </w:r>
      <w:r w:rsidR="00D904D4" w:rsidRPr="00B069D4">
        <w:rPr>
          <w:rFonts w:ascii="Verdana" w:hAnsi="Verdana" w:cs="Arial"/>
          <w:lang w:val="es-MX"/>
        </w:rPr>
        <w:t>Indígenas</w:t>
      </w:r>
      <w:r w:rsidR="00B069D4" w:rsidRPr="00B069D4">
        <w:rPr>
          <w:rFonts w:ascii="Verdana" w:hAnsi="Verdana" w:cs="Arial"/>
          <w:lang w:val="es-MX"/>
        </w:rPr>
        <w:t xml:space="preserve"> y Personas con Capacidades Especiales, ubicada en la 11 Calle 8-14 zona 1 Edificio Tecún, servicio de monitoreo de alarmas de ingreso y egreso (movimiento</w:t>
      </w:r>
      <w:r w:rsidR="00D904D4">
        <w:rPr>
          <w:rFonts w:ascii="Verdana" w:hAnsi="Verdana" w:cs="Arial"/>
          <w:lang w:val="es-MX"/>
        </w:rPr>
        <w:t>s) por valor total mensual de Q</w:t>
      </w:r>
      <w:r w:rsidR="00B069D4" w:rsidRPr="00B069D4">
        <w:rPr>
          <w:rFonts w:ascii="Verdana" w:hAnsi="Verdana" w:cs="Arial"/>
          <w:lang w:val="es-MX"/>
        </w:rPr>
        <w:t>165,000.00.</w:t>
      </w:r>
    </w:p>
    <w:p w14:paraId="669159EF" w14:textId="6942C6EC" w:rsidR="00217599" w:rsidRDefault="00217599" w:rsidP="00CE623B">
      <w:pPr>
        <w:pStyle w:val="Prrafodelista"/>
        <w:numPr>
          <w:ilvl w:val="0"/>
          <w:numId w:val="1"/>
        </w:numPr>
        <w:jc w:val="both"/>
        <w:rPr>
          <w:rFonts w:ascii="Verdana" w:hAnsi="Verdana" w:cs="Arial"/>
          <w:lang w:val="es-MX"/>
        </w:rPr>
      </w:pPr>
      <w:r>
        <w:rPr>
          <w:rFonts w:ascii="Verdana" w:hAnsi="Verdana" w:cs="Arial"/>
          <w:lang w:val="es-MX"/>
        </w:rPr>
        <w:t xml:space="preserve">Grupo de gasto 200: </w:t>
      </w:r>
      <w:r w:rsidR="00CE623B" w:rsidRPr="00CE623B">
        <w:rPr>
          <w:rFonts w:ascii="Verdana" w:hAnsi="Verdana" w:cs="Arial"/>
          <w:lang w:val="es-MX"/>
        </w:rPr>
        <w:t>Compra de paquetes de café tostado y molido, frascos de café instantáneo, frascos de cremora y bolsas de azúcar para uso del personal de la Dirección de Servicios al Comercio,  compra de grapas, marcadores, tape mágico, humedecedor</w:t>
      </w:r>
      <w:r w:rsidR="002B76B4">
        <w:rPr>
          <w:rFonts w:ascii="Verdana" w:hAnsi="Verdana" w:cs="Arial"/>
          <w:lang w:val="es-MX"/>
        </w:rPr>
        <w:t xml:space="preserve"> de dedos</w:t>
      </w:r>
      <w:r w:rsidR="00CE623B" w:rsidRPr="00CE623B">
        <w:rPr>
          <w:rFonts w:ascii="Verdana" w:hAnsi="Verdana" w:cs="Arial"/>
          <w:lang w:val="es-MX"/>
        </w:rPr>
        <w:t>, sacagrapas para abastecer el stock del almacén de la Dirección Administrativa del Ministerio de Economía, compra de accesorios de computadora para ser utilizados por personal de la Dirección de Recursos Humanos del Ministerio de Economía y compra de productos de limpieza que serán utilizados por el personal de la Dirección</w:t>
      </w:r>
      <w:r w:rsidR="00EB2104">
        <w:rPr>
          <w:rFonts w:ascii="Verdana" w:hAnsi="Verdana" w:cs="Arial"/>
          <w:lang w:val="es-MX"/>
        </w:rPr>
        <w:t xml:space="preserve"> de Servicio al Comercio por va</w:t>
      </w:r>
      <w:r w:rsidR="00CE623B" w:rsidRPr="00CE623B">
        <w:rPr>
          <w:rFonts w:ascii="Verdana" w:hAnsi="Verdana" w:cs="Arial"/>
          <w:lang w:val="es-MX"/>
        </w:rPr>
        <w:t>lo</w:t>
      </w:r>
      <w:r w:rsidR="00EB2104">
        <w:rPr>
          <w:rFonts w:ascii="Verdana" w:hAnsi="Verdana" w:cs="Arial"/>
          <w:lang w:val="es-MX"/>
        </w:rPr>
        <w:t>r</w:t>
      </w:r>
      <w:r w:rsidR="00CE623B" w:rsidRPr="00CE623B">
        <w:rPr>
          <w:rFonts w:ascii="Verdana" w:hAnsi="Verdana" w:cs="Arial"/>
          <w:lang w:val="es-MX"/>
        </w:rPr>
        <w:t xml:space="preserve"> total mensual de Q100,000.00</w:t>
      </w:r>
      <w:r w:rsidRPr="00217599">
        <w:rPr>
          <w:rFonts w:ascii="Verdana" w:hAnsi="Verdana" w:cs="Arial"/>
          <w:lang w:val="es-MX"/>
        </w:rPr>
        <w:t>.</w:t>
      </w:r>
    </w:p>
    <w:p w14:paraId="32B945D5" w14:textId="13CA4FCC" w:rsidR="00217599" w:rsidRDefault="00217599" w:rsidP="000D48F8">
      <w:pPr>
        <w:pStyle w:val="Prrafodelista"/>
        <w:numPr>
          <w:ilvl w:val="0"/>
          <w:numId w:val="1"/>
        </w:numPr>
        <w:jc w:val="both"/>
        <w:rPr>
          <w:rFonts w:ascii="Verdana" w:hAnsi="Verdana" w:cs="Arial"/>
          <w:lang w:val="es-MX"/>
        </w:rPr>
      </w:pPr>
      <w:r>
        <w:rPr>
          <w:rFonts w:ascii="Verdana" w:hAnsi="Verdana" w:cs="Arial"/>
          <w:lang w:val="es-MX"/>
        </w:rPr>
        <w:t xml:space="preserve">Grupo de gasto 300: </w:t>
      </w:r>
      <w:r w:rsidR="000D48F8" w:rsidRPr="000D48F8">
        <w:rPr>
          <w:rFonts w:ascii="Verdana" w:hAnsi="Verdana" w:cs="Arial"/>
          <w:lang w:val="es-MX"/>
        </w:rPr>
        <w:t>Compra de 20 co</w:t>
      </w:r>
      <w:r w:rsidR="00975849">
        <w:rPr>
          <w:rFonts w:ascii="Verdana" w:hAnsi="Verdana" w:cs="Arial"/>
          <w:lang w:val="es-MX"/>
        </w:rPr>
        <w:t>mputadora portátil, 45 UPS, 15 d</w:t>
      </w:r>
      <w:r w:rsidR="000D48F8" w:rsidRPr="000D48F8">
        <w:rPr>
          <w:rFonts w:ascii="Verdana" w:hAnsi="Verdana" w:cs="Arial"/>
          <w:lang w:val="es-MX"/>
        </w:rPr>
        <w:t xml:space="preserve">iscos </w:t>
      </w:r>
      <w:r w:rsidR="00975849">
        <w:rPr>
          <w:rFonts w:ascii="Verdana" w:hAnsi="Verdana" w:cs="Arial"/>
          <w:lang w:val="es-MX"/>
        </w:rPr>
        <w:t>d</w:t>
      </w:r>
      <w:r w:rsidR="000D48F8" w:rsidRPr="000D48F8">
        <w:rPr>
          <w:rFonts w:ascii="Verdana" w:hAnsi="Verdana" w:cs="Arial"/>
          <w:lang w:val="es-MX"/>
        </w:rPr>
        <w:t>uros, 20 impresora</w:t>
      </w:r>
      <w:r w:rsidR="00975849">
        <w:rPr>
          <w:rFonts w:ascii="Verdana" w:hAnsi="Verdana" w:cs="Arial"/>
          <w:lang w:val="es-MX"/>
        </w:rPr>
        <w:t>s</w:t>
      </w:r>
      <w:r w:rsidR="000D48F8" w:rsidRPr="000D48F8">
        <w:rPr>
          <w:rFonts w:ascii="Verdana" w:hAnsi="Verdana" w:cs="Arial"/>
          <w:lang w:val="es-MX"/>
        </w:rPr>
        <w:t xml:space="preserve"> multifuncional</w:t>
      </w:r>
      <w:r w:rsidR="00975849">
        <w:rPr>
          <w:rFonts w:ascii="Verdana" w:hAnsi="Verdana" w:cs="Arial"/>
          <w:lang w:val="es-MX"/>
        </w:rPr>
        <w:t>es</w:t>
      </w:r>
      <w:r w:rsidR="000D48F8" w:rsidRPr="000D48F8">
        <w:rPr>
          <w:rFonts w:ascii="Verdana" w:hAnsi="Verdana" w:cs="Arial"/>
          <w:lang w:val="es-MX"/>
        </w:rPr>
        <w:t xml:space="preserve"> para uso del </w:t>
      </w:r>
      <w:r w:rsidR="000D48F8" w:rsidRPr="000D48F8">
        <w:rPr>
          <w:rFonts w:ascii="Verdana" w:hAnsi="Verdana" w:cs="Arial"/>
          <w:lang w:val="es-MX"/>
        </w:rPr>
        <w:lastRenderedPageBreak/>
        <w:t xml:space="preserve">personal de la Dirección de Servicio al Comercio y la Inversión del Ministerio de Economía, compra de 4 refrigeradora para uso del personal del Registro de Mercado de </w:t>
      </w:r>
      <w:r w:rsidR="00975849">
        <w:rPr>
          <w:rFonts w:ascii="Verdana" w:hAnsi="Verdana" w:cs="Arial"/>
          <w:lang w:val="es-MX"/>
        </w:rPr>
        <w:t>V</w:t>
      </w:r>
      <w:r w:rsidR="000D48F8" w:rsidRPr="000D48F8">
        <w:rPr>
          <w:rFonts w:ascii="Verdana" w:hAnsi="Verdana" w:cs="Arial"/>
          <w:lang w:val="es-MX"/>
        </w:rPr>
        <w:t>alores y Mercancías del Ministerio de Economía y compra de 5 máquina</w:t>
      </w:r>
      <w:r w:rsidR="00975849">
        <w:rPr>
          <w:rFonts w:ascii="Verdana" w:hAnsi="Verdana" w:cs="Arial"/>
          <w:lang w:val="es-MX"/>
        </w:rPr>
        <w:t>s</w:t>
      </w:r>
      <w:r w:rsidR="000D48F8" w:rsidRPr="000D48F8">
        <w:rPr>
          <w:rFonts w:ascii="Verdana" w:hAnsi="Verdana" w:cs="Arial"/>
          <w:lang w:val="es-MX"/>
        </w:rPr>
        <w:t xml:space="preserve"> de escribir para uso del Registro de Garantías Mobiliarias del Ministerio de Economía, </w:t>
      </w:r>
      <w:r w:rsidR="00975849">
        <w:rPr>
          <w:rFonts w:ascii="Verdana" w:hAnsi="Verdana" w:cs="Arial"/>
          <w:lang w:val="es-MX"/>
        </w:rPr>
        <w:t>c</w:t>
      </w:r>
      <w:r w:rsidR="000D48F8" w:rsidRPr="000D48F8">
        <w:rPr>
          <w:rFonts w:ascii="Verdana" w:hAnsi="Verdana" w:cs="Arial"/>
          <w:lang w:val="es-MX"/>
        </w:rPr>
        <w:t xml:space="preserve">ompra de </w:t>
      </w:r>
      <w:r w:rsidR="00975849">
        <w:rPr>
          <w:rFonts w:ascii="Verdana" w:hAnsi="Verdana" w:cs="Arial"/>
          <w:lang w:val="es-MX"/>
        </w:rPr>
        <w:t xml:space="preserve">2 </w:t>
      </w:r>
      <w:r w:rsidR="000D48F8" w:rsidRPr="000D48F8">
        <w:rPr>
          <w:rFonts w:ascii="Verdana" w:hAnsi="Verdana" w:cs="Arial"/>
          <w:lang w:val="es-MX"/>
        </w:rPr>
        <w:t xml:space="preserve">computadoras de escritorio para uso del Vicedespacho Administrativo y para uso del Sindicato de Trabajadores del </w:t>
      </w:r>
      <w:r w:rsidR="00975849" w:rsidRPr="000D48F8">
        <w:rPr>
          <w:rFonts w:ascii="Verdana" w:hAnsi="Verdana" w:cs="Arial"/>
          <w:lang w:val="es-MX"/>
        </w:rPr>
        <w:t>Ministerio</w:t>
      </w:r>
      <w:r w:rsidR="000D48F8" w:rsidRPr="000D48F8">
        <w:rPr>
          <w:rFonts w:ascii="Verdana" w:hAnsi="Verdana" w:cs="Arial"/>
          <w:lang w:val="es-MX"/>
        </w:rPr>
        <w:t xml:space="preserve"> de </w:t>
      </w:r>
      <w:r w:rsidR="00975849" w:rsidRPr="000D48F8">
        <w:rPr>
          <w:rFonts w:ascii="Verdana" w:hAnsi="Verdana" w:cs="Arial"/>
          <w:lang w:val="es-MX"/>
        </w:rPr>
        <w:t>Economía</w:t>
      </w:r>
      <w:r w:rsidR="000D48F8" w:rsidRPr="000D48F8">
        <w:rPr>
          <w:rFonts w:ascii="Verdana" w:hAnsi="Verdana" w:cs="Arial"/>
          <w:lang w:val="es-MX"/>
        </w:rPr>
        <w:t xml:space="preserve">, </w:t>
      </w:r>
      <w:r w:rsidR="00975849">
        <w:rPr>
          <w:rFonts w:ascii="Verdana" w:hAnsi="Verdana" w:cs="Arial"/>
          <w:lang w:val="es-MX"/>
        </w:rPr>
        <w:t>c</w:t>
      </w:r>
      <w:r w:rsidR="000D48F8" w:rsidRPr="000D48F8">
        <w:rPr>
          <w:rFonts w:ascii="Verdana" w:hAnsi="Verdana" w:cs="Arial"/>
          <w:lang w:val="es-MX"/>
        </w:rPr>
        <w:t xml:space="preserve">ompra de mobiliario y equipo para uso del personal del Registro de </w:t>
      </w:r>
      <w:r w:rsidR="00975849" w:rsidRPr="000D48F8">
        <w:rPr>
          <w:rFonts w:ascii="Verdana" w:hAnsi="Verdana" w:cs="Arial"/>
          <w:lang w:val="es-MX"/>
        </w:rPr>
        <w:t>Garantías</w:t>
      </w:r>
      <w:r w:rsidR="00975849">
        <w:rPr>
          <w:rFonts w:ascii="Verdana" w:hAnsi="Verdana" w:cs="Arial"/>
          <w:lang w:val="es-MX"/>
        </w:rPr>
        <w:t xml:space="preserve"> Mobiliarias</w:t>
      </w:r>
      <w:r w:rsidR="000D48F8" w:rsidRPr="000D48F8">
        <w:rPr>
          <w:rFonts w:ascii="Verdana" w:hAnsi="Verdana" w:cs="Arial"/>
          <w:lang w:val="es-MX"/>
        </w:rPr>
        <w:t xml:space="preserve"> </w:t>
      </w:r>
      <w:r w:rsidR="00975849">
        <w:rPr>
          <w:rFonts w:ascii="Verdana" w:hAnsi="Verdana" w:cs="Arial"/>
          <w:lang w:val="es-MX"/>
        </w:rPr>
        <w:t>por un valor de Q</w:t>
      </w:r>
      <w:r w:rsidR="000D48F8" w:rsidRPr="000D48F8">
        <w:rPr>
          <w:rFonts w:ascii="Verdana" w:hAnsi="Verdana" w:cs="Arial"/>
          <w:lang w:val="es-MX"/>
        </w:rPr>
        <w:t>135,000.00 mensuales.</w:t>
      </w:r>
    </w:p>
    <w:p w14:paraId="2C34A82A" w14:textId="2185A16E" w:rsidR="00217599" w:rsidRDefault="00217599" w:rsidP="00526046">
      <w:pPr>
        <w:pStyle w:val="Prrafodelista"/>
        <w:numPr>
          <w:ilvl w:val="0"/>
          <w:numId w:val="1"/>
        </w:numPr>
        <w:jc w:val="both"/>
        <w:rPr>
          <w:rFonts w:ascii="Verdana" w:hAnsi="Verdana" w:cs="Arial"/>
          <w:lang w:val="es-MX"/>
        </w:rPr>
      </w:pPr>
      <w:r>
        <w:rPr>
          <w:rFonts w:ascii="Verdana" w:hAnsi="Verdana" w:cs="Arial"/>
          <w:lang w:val="es-MX"/>
        </w:rPr>
        <w:t xml:space="preserve">Grupo de gasto 400: </w:t>
      </w:r>
      <w:r w:rsidR="00964938">
        <w:rPr>
          <w:rFonts w:ascii="Verdana" w:hAnsi="Verdana" w:cs="Arial"/>
          <w:lang w:val="es-MX"/>
        </w:rPr>
        <w:t>P</w:t>
      </w:r>
      <w:r w:rsidR="00532976">
        <w:rPr>
          <w:rFonts w:ascii="Verdana" w:hAnsi="Verdana" w:cs="Arial"/>
          <w:lang w:val="es-MX"/>
        </w:rPr>
        <w:t>ago de a</w:t>
      </w:r>
      <w:r w:rsidR="00532976" w:rsidRPr="00532976">
        <w:rPr>
          <w:rFonts w:ascii="Verdana" w:hAnsi="Verdana" w:cs="Arial"/>
          <w:lang w:val="es-MX"/>
        </w:rPr>
        <w:t>porte</w:t>
      </w:r>
      <w:r w:rsidR="00532976">
        <w:rPr>
          <w:rFonts w:ascii="Verdana" w:hAnsi="Verdana" w:cs="Arial"/>
          <w:lang w:val="es-MX"/>
        </w:rPr>
        <w:t>s</w:t>
      </w:r>
      <w:r w:rsidR="00532976" w:rsidRPr="00532976">
        <w:rPr>
          <w:rFonts w:ascii="Verdana" w:hAnsi="Verdana" w:cs="Arial"/>
          <w:lang w:val="es-MX"/>
        </w:rPr>
        <w:t xml:space="preserve"> </w:t>
      </w:r>
      <w:r w:rsidR="00532976">
        <w:rPr>
          <w:rFonts w:ascii="Verdana" w:hAnsi="Verdana" w:cs="Arial"/>
          <w:lang w:val="es-MX"/>
        </w:rPr>
        <w:t xml:space="preserve">por pago de </w:t>
      </w:r>
      <w:r w:rsidR="00532976" w:rsidRPr="00532976">
        <w:rPr>
          <w:rFonts w:ascii="Verdana" w:hAnsi="Verdana" w:cs="Arial"/>
          <w:lang w:val="es-MX"/>
        </w:rPr>
        <w:t>de membresía del funcionamiento ordinario de</w:t>
      </w:r>
      <w:r w:rsidR="00532976">
        <w:rPr>
          <w:rFonts w:ascii="Verdana" w:hAnsi="Verdana" w:cs="Arial"/>
          <w:lang w:val="es-MX"/>
        </w:rPr>
        <w:t xml:space="preserve"> </w:t>
      </w:r>
      <w:r w:rsidR="00532976" w:rsidRPr="00532976">
        <w:rPr>
          <w:rFonts w:ascii="Verdana" w:hAnsi="Verdana" w:cs="Arial"/>
          <w:lang w:val="es-MX"/>
        </w:rPr>
        <w:t>l</w:t>
      </w:r>
      <w:r w:rsidR="00532976">
        <w:rPr>
          <w:rFonts w:ascii="Verdana" w:hAnsi="Verdana" w:cs="Arial"/>
          <w:lang w:val="es-MX"/>
        </w:rPr>
        <w:t>os</w:t>
      </w:r>
      <w:r w:rsidR="00532976" w:rsidRPr="00532976">
        <w:rPr>
          <w:rFonts w:ascii="Verdana" w:hAnsi="Verdana" w:cs="Arial"/>
          <w:lang w:val="es-MX"/>
        </w:rPr>
        <w:t xml:space="preserve"> Ente</w:t>
      </w:r>
      <w:r w:rsidR="00532976">
        <w:rPr>
          <w:rFonts w:ascii="Verdana" w:hAnsi="Verdana" w:cs="Arial"/>
          <w:lang w:val="es-MX"/>
        </w:rPr>
        <w:t>s Receptores:</w:t>
      </w:r>
      <w:r w:rsidR="00532976" w:rsidRPr="00532976">
        <w:rPr>
          <w:rFonts w:ascii="Verdana" w:hAnsi="Verdana" w:cs="Arial"/>
          <w:lang w:val="es-MX"/>
        </w:rPr>
        <w:t xml:space="preserve"> </w:t>
      </w:r>
      <w:r w:rsidR="00FC392A">
        <w:rPr>
          <w:rFonts w:ascii="Verdana" w:hAnsi="Verdana" w:cs="Arial"/>
          <w:lang w:val="es-MX"/>
        </w:rPr>
        <w:t>Organización</w:t>
      </w:r>
      <w:r w:rsidR="00532976" w:rsidRPr="00532976">
        <w:rPr>
          <w:rFonts w:ascii="Verdana" w:hAnsi="Verdana" w:cs="Arial"/>
          <w:lang w:val="es-MX"/>
        </w:rPr>
        <w:t xml:space="preserve"> Mundial de Comercio </w:t>
      </w:r>
      <w:r w:rsidR="00FC392A">
        <w:rPr>
          <w:rFonts w:ascii="Verdana" w:hAnsi="Verdana" w:cs="Arial"/>
          <w:lang w:val="es-MX"/>
        </w:rPr>
        <w:t>(</w:t>
      </w:r>
      <w:r w:rsidR="00532976" w:rsidRPr="00532976">
        <w:rPr>
          <w:rFonts w:ascii="Verdana" w:hAnsi="Verdana" w:cs="Arial"/>
          <w:lang w:val="es-MX"/>
        </w:rPr>
        <w:t>OMC</w:t>
      </w:r>
      <w:r w:rsidR="00FC392A">
        <w:rPr>
          <w:rFonts w:ascii="Verdana" w:hAnsi="Verdana" w:cs="Arial"/>
          <w:lang w:val="es-MX"/>
        </w:rPr>
        <w:t>)</w:t>
      </w:r>
      <w:r w:rsidR="00532976" w:rsidRPr="00532976">
        <w:rPr>
          <w:rFonts w:ascii="Verdana" w:hAnsi="Verdana" w:cs="Arial"/>
          <w:lang w:val="es-MX"/>
        </w:rPr>
        <w:t xml:space="preserve">, Cooperación Internacional para la Acreditación de Laboratorios </w:t>
      </w:r>
      <w:r w:rsidR="00FC392A">
        <w:rPr>
          <w:rFonts w:ascii="Verdana" w:hAnsi="Verdana" w:cs="Arial"/>
          <w:lang w:val="es-MX"/>
        </w:rPr>
        <w:t>(</w:t>
      </w:r>
      <w:r w:rsidR="00532976" w:rsidRPr="00532976">
        <w:rPr>
          <w:rFonts w:ascii="Verdana" w:hAnsi="Verdana" w:cs="Arial"/>
          <w:lang w:val="es-MX"/>
        </w:rPr>
        <w:t>ILAC</w:t>
      </w:r>
      <w:r w:rsidR="00FC392A">
        <w:rPr>
          <w:rFonts w:ascii="Verdana" w:hAnsi="Verdana" w:cs="Arial"/>
          <w:lang w:val="es-MX"/>
        </w:rPr>
        <w:t>)</w:t>
      </w:r>
      <w:r w:rsidR="00532976" w:rsidRPr="00532976">
        <w:rPr>
          <w:rFonts w:ascii="Verdana" w:hAnsi="Verdana" w:cs="Arial"/>
          <w:lang w:val="es-MX"/>
        </w:rPr>
        <w:t xml:space="preserve">, Organización Internacional de Metrología Legal </w:t>
      </w:r>
      <w:r w:rsidR="00FC392A">
        <w:rPr>
          <w:rFonts w:ascii="Verdana" w:hAnsi="Verdana" w:cs="Arial"/>
          <w:lang w:val="es-MX"/>
        </w:rPr>
        <w:t>(</w:t>
      </w:r>
      <w:r w:rsidR="00532976" w:rsidRPr="00532976">
        <w:rPr>
          <w:rFonts w:ascii="Verdana" w:hAnsi="Verdana" w:cs="Arial"/>
          <w:lang w:val="es-MX"/>
        </w:rPr>
        <w:t>OIML</w:t>
      </w:r>
      <w:r w:rsidR="00FC392A">
        <w:rPr>
          <w:rFonts w:ascii="Verdana" w:hAnsi="Verdana" w:cs="Arial"/>
          <w:lang w:val="es-MX"/>
        </w:rPr>
        <w:t>)</w:t>
      </w:r>
      <w:r w:rsidR="00532976" w:rsidRPr="00532976">
        <w:rPr>
          <w:rFonts w:ascii="Verdana" w:hAnsi="Verdana" w:cs="Arial"/>
          <w:lang w:val="es-MX"/>
        </w:rPr>
        <w:t>, Secretaria de Integración Económica Centroamericana</w:t>
      </w:r>
      <w:r w:rsidR="00FC392A">
        <w:rPr>
          <w:rFonts w:ascii="Verdana" w:hAnsi="Verdana" w:cs="Arial"/>
          <w:lang w:val="es-MX"/>
        </w:rPr>
        <w:t xml:space="preserve"> (</w:t>
      </w:r>
      <w:r w:rsidR="00532976" w:rsidRPr="00532976">
        <w:rPr>
          <w:rFonts w:ascii="Verdana" w:hAnsi="Verdana" w:cs="Arial"/>
          <w:lang w:val="es-MX"/>
        </w:rPr>
        <w:t>SIECA</w:t>
      </w:r>
      <w:r w:rsidR="00FC392A">
        <w:rPr>
          <w:rFonts w:ascii="Verdana" w:hAnsi="Verdana" w:cs="Arial"/>
          <w:lang w:val="es-MX"/>
        </w:rPr>
        <w:t>)</w:t>
      </w:r>
      <w:r w:rsidR="00532976" w:rsidRPr="00532976">
        <w:rPr>
          <w:rFonts w:ascii="Verdana" w:hAnsi="Verdana" w:cs="Arial"/>
          <w:lang w:val="es-MX"/>
        </w:rPr>
        <w:t xml:space="preserve">, </w:t>
      </w:r>
      <w:r w:rsidR="00FC392A">
        <w:rPr>
          <w:rFonts w:ascii="Verdana" w:hAnsi="Verdana" w:cs="Arial"/>
          <w:lang w:val="es-MX"/>
        </w:rPr>
        <w:t xml:space="preserve">Cooperación Interamericana de </w:t>
      </w:r>
      <w:r w:rsidR="00532976" w:rsidRPr="00532976">
        <w:rPr>
          <w:rFonts w:ascii="Verdana" w:hAnsi="Verdana" w:cs="Arial"/>
          <w:lang w:val="es-MX"/>
        </w:rPr>
        <w:t xml:space="preserve">Organismos de Acreditación </w:t>
      </w:r>
      <w:r w:rsidR="00FC392A">
        <w:rPr>
          <w:rFonts w:ascii="Verdana" w:hAnsi="Verdana" w:cs="Arial"/>
          <w:lang w:val="es-MX"/>
        </w:rPr>
        <w:t>(</w:t>
      </w:r>
      <w:r w:rsidR="00532976" w:rsidRPr="00532976">
        <w:rPr>
          <w:rFonts w:ascii="Verdana" w:hAnsi="Verdana" w:cs="Arial"/>
          <w:lang w:val="es-MX"/>
        </w:rPr>
        <w:t>IAAC</w:t>
      </w:r>
      <w:r w:rsidR="00FC392A">
        <w:rPr>
          <w:rFonts w:ascii="Verdana" w:hAnsi="Verdana" w:cs="Arial"/>
          <w:lang w:val="es-MX"/>
        </w:rPr>
        <w:t>)</w:t>
      </w:r>
      <w:r w:rsidR="00532976" w:rsidRPr="00532976">
        <w:rPr>
          <w:rFonts w:ascii="Verdana" w:hAnsi="Verdana" w:cs="Arial"/>
          <w:lang w:val="es-MX"/>
        </w:rPr>
        <w:t xml:space="preserve">, Organización Mundial de Propiedad Intelectual </w:t>
      </w:r>
      <w:r w:rsidR="00FC392A">
        <w:rPr>
          <w:rFonts w:ascii="Verdana" w:hAnsi="Verdana" w:cs="Arial"/>
          <w:lang w:val="es-MX"/>
        </w:rPr>
        <w:t>(</w:t>
      </w:r>
      <w:r w:rsidR="00532976" w:rsidRPr="00532976">
        <w:rPr>
          <w:rFonts w:ascii="Verdana" w:hAnsi="Verdana" w:cs="Arial"/>
          <w:lang w:val="es-MX"/>
        </w:rPr>
        <w:t>OMPI</w:t>
      </w:r>
      <w:r w:rsidR="00FC392A">
        <w:rPr>
          <w:rFonts w:ascii="Verdana" w:hAnsi="Verdana" w:cs="Arial"/>
          <w:lang w:val="es-MX"/>
        </w:rPr>
        <w:t>)</w:t>
      </w:r>
      <w:r w:rsidR="00532976" w:rsidRPr="00532976">
        <w:rPr>
          <w:rFonts w:ascii="Verdana" w:hAnsi="Verdana" w:cs="Arial"/>
          <w:lang w:val="es-MX"/>
        </w:rPr>
        <w:t xml:space="preserve">, Centro para la Promoción de la Micro y Pequeña Empresa en Centroamérica </w:t>
      </w:r>
      <w:r w:rsidR="00FC392A">
        <w:rPr>
          <w:rFonts w:ascii="Verdana" w:hAnsi="Verdana" w:cs="Arial"/>
          <w:lang w:val="es-MX"/>
        </w:rPr>
        <w:t>(</w:t>
      </w:r>
      <w:r w:rsidR="00532976" w:rsidRPr="00532976">
        <w:rPr>
          <w:rFonts w:ascii="Verdana" w:hAnsi="Verdana" w:cs="Arial"/>
          <w:lang w:val="es-MX"/>
        </w:rPr>
        <w:t>C</w:t>
      </w:r>
      <w:r w:rsidR="00FC392A">
        <w:rPr>
          <w:rFonts w:ascii="Verdana" w:hAnsi="Verdana" w:cs="Arial"/>
          <w:lang w:val="es-MX"/>
        </w:rPr>
        <w:t>enpromype)</w:t>
      </w:r>
      <w:r w:rsidR="00532976" w:rsidRPr="00532976">
        <w:rPr>
          <w:rFonts w:ascii="Verdana" w:hAnsi="Verdana" w:cs="Arial"/>
          <w:lang w:val="es-MX"/>
        </w:rPr>
        <w:t xml:space="preserve">, Organización para la Cooperación y el Desarrollo Económico </w:t>
      </w:r>
      <w:r w:rsidR="00FC392A">
        <w:rPr>
          <w:rFonts w:ascii="Verdana" w:hAnsi="Verdana" w:cs="Arial"/>
          <w:lang w:val="es-MX"/>
        </w:rPr>
        <w:t>(</w:t>
      </w:r>
      <w:r w:rsidR="00532976" w:rsidRPr="00532976">
        <w:rPr>
          <w:rFonts w:ascii="Verdana" w:hAnsi="Verdana" w:cs="Arial"/>
          <w:lang w:val="es-MX"/>
        </w:rPr>
        <w:t>OCDE</w:t>
      </w:r>
      <w:r w:rsidR="00FC392A">
        <w:rPr>
          <w:rFonts w:ascii="Verdana" w:hAnsi="Verdana" w:cs="Arial"/>
          <w:lang w:val="es-MX"/>
        </w:rPr>
        <w:t>)</w:t>
      </w:r>
      <w:r w:rsidR="00532976" w:rsidRPr="00532976">
        <w:rPr>
          <w:rFonts w:ascii="Verdana" w:hAnsi="Verdana" w:cs="Arial"/>
          <w:lang w:val="es-MX"/>
        </w:rPr>
        <w:t xml:space="preserve">,  Instituto Centroamericano de Administración Pública </w:t>
      </w:r>
      <w:r w:rsidR="00FC392A">
        <w:rPr>
          <w:rFonts w:ascii="Verdana" w:hAnsi="Verdana" w:cs="Arial"/>
          <w:lang w:val="es-MX"/>
        </w:rPr>
        <w:t>(</w:t>
      </w:r>
      <w:r w:rsidR="00532976" w:rsidRPr="00532976">
        <w:rPr>
          <w:rFonts w:ascii="Verdana" w:hAnsi="Verdana" w:cs="Arial"/>
          <w:lang w:val="es-MX"/>
        </w:rPr>
        <w:t>ICAP</w:t>
      </w:r>
      <w:r w:rsidR="00FC392A">
        <w:rPr>
          <w:rFonts w:ascii="Verdana" w:hAnsi="Verdana" w:cs="Arial"/>
          <w:lang w:val="es-MX"/>
        </w:rPr>
        <w:t>)</w:t>
      </w:r>
      <w:r w:rsidR="00532976" w:rsidRPr="00532976">
        <w:rPr>
          <w:rFonts w:ascii="Verdana" w:hAnsi="Verdana" w:cs="Arial"/>
          <w:lang w:val="es-MX"/>
        </w:rPr>
        <w:t xml:space="preserve">, Comisión Panamericana de Normas Técnicas </w:t>
      </w:r>
      <w:r w:rsidR="00FC392A">
        <w:rPr>
          <w:rFonts w:ascii="Verdana" w:hAnsi="Verdana" w:cs="Arial"/>
          <w:lang w:val="es-MX"/>
        </w:rPr>
        <w:t>(Copant)</w:t>
      </w:r>
      <w:r w:rsidR="00532976" w:rsidRPr="00532976">
        <w:rPr>
          <w:rFonts w:ascii="Verdana" w:hAnsi="Verdana" w:cs="Arial"/>
          <w:lang w:val="es-MX"/>
        </w:rPr>
        <w:t xml:space="preserve"> y </w:t>
      </w:r>
      <w:r w:rsidR="00FC392A">
        <w:rPr>
          <w:rFonts w:ascii="Verdana" w:hAnsi="Verdana" w:cs="Arial"/>
          <w:lang w:val="es-MX"/>
        </w:rPr>
        <w:t>O</w:t>
      </w:r>
      <w:r w:rsidR="00532976" w:rsidRPr="00532976">
        <w:rPr>
          <w:rFonts w:ascii="Verdana" w:hAnsi="Verdana" w:cs="Arial"/>
          <w:lang w:val="es-MX"/>
        </w:rPr>
        <w:t xml:space="preserve">rganización </w:t>
      </w:r>
      <w:r w:rsidR="00FC392A">
        <w:rPr>
          <w:rFonts w:ascii="Verdana" w:hAnsi="Verdana" w:cs="Arial"/>
          <w:lang w:val="es-MX"/>
        </w:rPr>
        <w:t>I</w:t>
      </w:r>
      <w:r w:rsidR="00532976" w:rsidRPr="00532976">
        <w:rPr>
          <w:rFonts w:ascii="Verdana" w:hAnsi="Verdana" w:cs="Arial"/>
          <w:lang w:val="es-MX"/>
        </w:rPr>
        <w:t xml:space="preserve">nternacional de </w:t>
      </w:r>
      <w:r w:rsidR="00FC392A">
        <w:rPr>
          <w:rFonts w:ascii="Verdana" w:hAnsi="Verdana" w:cs="Arial"/>
          <w:lang w:val="es-MX"/>
        </w:rPr>
        <w:t>N</w:t>
      </w:r>
      <w:r w:rsidR="00532976" w:rsidRPr="00532976">
        <w:rPr>
          <w:rFonts w:ascii="Verdana" w:hAnsi="Verdana" w:cs="Arial"/>
          <w:lang w:val="es-MX"/>
        </w:rPr>
        <w:t xml:space="preserve">ormalización </w:t>
      </w:r>
      <w:r w:rsidR="00FC392A">
        <w:rPr>
          <w:rFonts w:ascii="Verdana" w:hAnsi="Verdana" w:cs="Arial"/>
          <w:lang w:val="es-MX"/>
        </w:rPr>
        <w:t>(</w:t>
      </w:r>
      <w:r w:rsidR="00532976" w:rsidRPr="00532976">
        <w:rPr>
          <w:rFonts w:ascii="Verdana" w:hAnsi="Verdana" w:cs="Arial"/>
          <w:lang w:val="es-MX"/>
        </w:rPr>
        <w:t>ISO</w:t>
      </w:r>
      <w:r w:rsidR="00FC392A">
        <w:rPr>
          <w:rFonts w:ascii="Verdana" w:hAnsi="Verdana" w:cs="Arial"/>
          <w:lang w:val="es-MX"/>
        </w:rPr>
        <w:t>)</w:t>
      </w:r>
      <w:r w:rsidR="00422B7B">
        <w:rPr>
          <w:rFonts w:ascii="Verdana" w:hAnsi="Verdana" w:cs="Arial"/>
          <w:lang w:val="es-MX"/>
        </w:rPr>
        <w:t>, International Organization of Securities Commissions (IOSCO)</w:t>
      </w:r>
      <w:r w:rsidR="00FC392A">
        <w:rPr>
          <w:rFonts w:ascii="Verdana" w:hAnsi="Verdana" w:cs="Arial"/>
          <w:lang w:val="es-MX"/>
        </w:rPr>
        <w:t>, Instituto Nacional de Estadística (INE) y Corporación Financiera Nacional (Corfina)</w:t>
      </w:r>
      <w:r w:rsidR="00526046">
        <w:rPr>
          <w:rFonts w:ascii="Verdana" w:hAnsi="Verdana" w:cs="Arial"/>
          <w:lang w:val="es-MX"/>
        </w:rPr>
        <w:t xml:space="preserve">; </w:t>
      </w:r>
      <w:r w:rsidR="00526046" w:rsidRPr="00526046">
        <w:rPr>
          <w:rFonts w:ascii="Verdana" w:hAnsi="Verdana" w:cs="Arial"/>
          <w:lang w:val="es-MX"/>
        </w:rPr>
        <w:t>pago por concepto de prestaciones, indemnizaciones y va</w:t>
      </w:r>
      <w:r w:rsidR="0086098A">
        <w:rPr>
          <w:rFonts w:ascii="Verdana" w:hAnsi="Verdana" w:cs="Arial"/>
          <w:lang w:val="es-MX"/>
        </w:rPr>
        <w:t>ca</w:t>
      </w:r>
      <w:r w:rsidR="00526046" w:rsidRPr="00526046">
        <w:rPr>
          <w:rFonts w:ascii="Verdana" w:hAnsi="Verdana" w:cs="Arial"/>
          <w:lang w:val="es-MX"/>
        </w:rPr>
        <w:t xml:space="preserve">ciones a </w:t>
      </w:r>
      <w:r w:rsidR="0086098A" w:rsidRPr="00526046">
        <w:rPr>
          <w:rFonts w:ascii="Verdana" w:hAnsi="Verdana" w:cs="Arial"/>
          <w:lang w:val="es-MX"/>
        </w:rPr>
        <w:t>favor</w:t>
      </w:r>
      <w:r w:rsidR="00526046" w:rsidRPr="00526046">
        <w:rPr>
          <w:rFonts w:ascii="Verdana" w:hAnsi="Verdana" w:cs="Arial"/>
          <w:lang w:val="es-MX"/>
        </w:rPr>
        <w:t xml:space="preserve"> de Otto Cresencio Morales Lopez, </w:t>
      </w:r>
      <w:r w:rsidR="0086098A" w:rsidRPr="00526046">
        <w:rPr>
          <w:rFonts w:ascii="Verdana" w:hAnsi="Verdana" w:cs="Arial"/>
          <w:lang w:val="es-MX"/>
        </w:rPr>
        <w:t>Héctor</w:t>
      </w:r>
      <w:r w:rsidR="00526046" w:rsidRPr="00526046">
        <w:rPr>
          <w:rFonts w:ascii="Verdana" w:hAnsi="Verdana" w:cs="Arial"/>
          <w:lang w:val="es-MX"/>
        </w:rPr>
        <w:t xml:space="preserve"> Leonel Morales </w:t>
      </w:r>
      <w:r w:rsidR="0086098A" w:rsidRPr="00526046">
        <w:rPr>
          <w:rFonts w:ascii="Verdana" w:hAnsi="Verdana" w:cs="Arial"/>
          <w:lang w:val="es-MX"/>
        </w:rPr>
        <w:t>Juarez</w:t>
      </w:r>
      <w:r w:rsidR="00526046" w:rsidRPr="00526046">
        <w:rPr>
          <w:rFonts w:ascii="Verdana" w:hAnsi="Verdana" w:cs="Arial"/>
          <w:lang w:val="es-MX"/>
        </w:rPr>
        <w:t xml:space="preserve"> y Michael Carolina </w:t>
      </w:r>
      <w:r w:rsidR="0086098A" w:rsidRPr="00526046">
        <w:rPr>
          <w:rFonts w:ascii="Verdana" w:hAnsi="Verdana" w:cs="Arial"/>
          <w:lang w:val="es-MX"/>
        </w:rPr>
        <w:t>Ayala</w:t>
      </w:r>
      <w:r w:rsidR="00526046" w:rsidRPr="00526046">
        <w:rPr>
          <w:rFonts w:ascii="Verdana" w:hAnsi="Verdana" w:cs="Arial"/>
          <w:lang w:val="es-MX"/>
        </w:rPr>
        <w:t xml:space="preserve"> por un monto de Q113,768.00</w:t>
      </w:r>
      <w:r w:rsidR="00526046">
        <w:rPr>
          <w:rFonts w:ascii="Verdana" w:hAnsi="Verdana" w:cs="Arial"/>
          <w:lang w:val="es-MX"/>
        </w:rPr>
        <w:t>.</w:t>
      </w:r>
    </w:p>
    <w:p w14:paraId="6D6ED103" w14:textId="01DC5955" w:rsidR="00C2203A" w:rsidRDefault="00C2203A" w:rsidP="00C2203A">
      <w:pPr>
        <w:pStyle w:val="Prrafodelista"/>
        <w:numPr>
          <w:ilvl w:val="0"/>
          <w:numId w:val="1"/>
        </w:numPr>
        <w:jc w:val="both"/>
        <w:rPr>
          <w:rFonts w:ascii="Verdana" w:hAnsi="Verdana" w:cs="Arial"/>
          <w:lang w:val="es-MX"/>
        </w:rPr>
      </w:pPr>
      <w:r>
        <w:rPr>
          <w:rFonts w:ascii="Verdana" w:hAnsi="Verdana" w:cs="Arial"/>
          <w:lang w:val="es-MX"/>
        </w:rPr>
        <w:t>Grupo de gasto 900: p</w:t>
      </w:r>
      <w:r w:rsidRPr="00C2203A">
        <w:rPr>
          <w:rFonts w:ascii="Verdana" w:hAnsi="Verdana" w:cs="Arial"/>
          <w:lang w:val="es-MX"/>
        </w:rPr>
        <w:t>ago de 17 sentencias judici</w:t>
      </w:r>
      <w:r>
        <w:rPr>
          <w:rFonts w:ascii="Verdana" w:hAnsi="Verdana" w:cs="Arial"/>
          <w:lang w:val="es-MX"/>
        </w:rPr>
        <w:t>ales las cuales corresponden a p</w:t>
      </w:r>
      <w:r w:rsidRPr="00C2203A">
        <w:rPr>
          <w:rFonts w:ascii="Verdana" w:hAnsi="Verdana" w:cs="Arial"/>
          <w:lang w:val="es-MX"/>
        </w:rPr>
        <w:t>restaciones laborales, pago de costas judiciales, honorarios dejados de percibir, bono de alimentos en el presente ejercicio fiscal.</w:t>
      </w:r>
    </w:p>
    <w:p w14:paraId="7D5BCD4B" w14:textId="00580C57" w:rsidR="00D5690E" w:rsidRDefault="00D5690E" w:rsidP="00D5690E">
      <w:pPr>
        <w:jc w:val="both"/>
        <w:rPr>
          <w:rFonts w:ascii="Verdana" w:hAnsi="Verdana" w:cs="Arial"/>
          <w:lang w:val="es-MX"/>
        </w:rPr>
      </w:pPr>
    </w:p>
    <w:p w14:paraId="4CDE1CE7" w14:textId="1B0D6A0F" w:rsidR="00D5690E" w:rsidRDefault="00D5690E" w:rsidP="00D5690E">
      <w:pPr>
        <w:jc w:val="both"/>
        <w:rPr>
          <w:rFonts w:ascii="Verdana" w:hAnsi="Verdana" w:cs="Arial"/>
          <w:lang w:val="es-MX"/>
        </w:rPr>
      </w:pPr>
    </w:p>
    <w:p w14:paraId="6CAA8302" w14:textId="6470E174" w:rsidR="00D55E08" w:rsidRDefault="00D55E08" w:rsidP="00D5690E">
      <w:pPr>
        <w:jc w:val="both"/>
        <w:rPr>
          <w:rFonts w:ascii="Verdana" w:hAnsi="Verdana" w:cs="Arial"/>
          <w:lang w:val="es-MX"/>
        </w:rPr>
      </w:pPr>
    </w:p>
    <w:p w14:paraId="5986178D" w14:textId="08425218" w:rsidR="00D55E08" w:rsidRDefault="00D55E08" w:rsidP="00D5690E">
      <w:pPr>
        <w:jc w:val="both"/>
        <w:rPr>
          <w:rFonts w:ascii="Verdana" w:hAnsi="Verdana" w:cs="Arial"/>
          <w:lang w:val="es-MX"/>
        </w:rPr>
      </w:pPr>
    </w:p>
    <w:p w14:paraId="73541C56" w14:textId="77777777" w:rsidR="00D55E08" w:rsidRDefault="00D55E08" w:rsidP="00D5690E">
      <w:pPr>
        <w:jc w:val="both"/>
        <w:rPr>
          <w:rFonts w:ascii="Verdana" w:hAnsi="Verdana" w:cs="Arial"/>
          <w:lang w:val="es-MX"/>
        </w:rPr>
      </w:pPr>
    </w:p>
    <w:p w14:paraId="406CE62C" w14:textId="583D3D7C" w:rsidR="00D5690E" w:rsidRDefault="00D5690E" w:rsidP="00D5690E">
      <w:pPr>
        <w:jc w:val="both"/>
        <w:rPr>
          <w:rFonts w:ascii="Verdana" w:hAnsi="Verdana" w:cs="Arial"/>
          <w:lang w:val="es-MX"/>
        </w:rPr>
      </w:pPr>
    </w:p>
    <w:p w14:paraId="406C9EEE" w14:textId="2219E4FB" w:rsidR="00F74A9B" w:rsidRDefault="00F74A9B" w:rsidP="00D5690E">
      <w:pPr>
        <w:jc w:val="both"/>
        <w:rPr>
          <w:rFonts w:ascii="Verdana" w:hAnsi="Verdana" w:cs="Arial"/>
          <w:lang w:val="es-MX"/>
        </w:rPr>
      </w:pPr>
    </w:p>
    <w:p w14:paraId="567246D3" w14:textId="77777777" w:rsidR="00F74A9B" w:rsidRPr="00D5690E" w:rsidRDefault="00F74A9B" w:rsidP="00D5690E">
      <w:pPr>
        <w:jc w:val="both"/>
        <w:rPr>
          <w:rFonts w:ascii="Verdana" w:hAnsi="Verdana" w:cs="Arial"/>
          <w:lang w:val="es-MX"/>
        </w:rPr>
      </w:pPr>
    </w:p>
    <w:p w14:paraId="544D5422" w14:textId="63F607BA" w:rsidR="00D62887" w:rsidRPr="0010018F" w:rsidRDefault="00D62887" w:rsidP="00D62887">
      <w:pPr>
        <w:jc w:val="center"/>
        <w:rPr>
          <w:rFonts w:ascii="Verdana" w:hAnsi="Verdana" w:cs="Arial"/>
          <w:b/>
          <w:lang w:val="es-MX"/>
        </w:rPr>
      </w:pPr>
      <w:r>
        <w:rPr>
          <w:rFonts w:ascii="Verdana" w:hAnsi="Verdana" w:cs="Arial"/>
          <w:b/>
          <w:lang w:val="es-MX"/>
        </w:rPr>
        <w:lastRenderedPageBreak/>
        <w:t>Gráfica No. 1</w:t>
      </w:r>
    </w:p>
    <w:p w14:paraId="35A189D3" w14:textId="2C720032" w:rsidR="00D62887" w:rsidRPr="0010018F" w:rsidRDefault="00D62887" w:rsidP="00D62887">
      <w:pPr>
        <w:jc w:val="center"/>
        <w:rPr>
          <w:rFonts w:ascii="Verdana" w:hAnsi="Verdana" w:cs="Arial"/>
          <w:b/>
          <w:lang w:val="es-MX"/>
        </w:rPr>
      </w:pPr>
      <w:r w:rsidRPr="0010018F">
        <w:rPr>
          <w:rFonts w:ascii="Verdana" w:hAnsi="Verdana" w:cs="Arial"/>
          <w:b/>
          <w:lang w:val="es-MX"/>
        </w:rPr>
        <w:t>Viceministerio Administrativo y Financiero</w:t>
      </w:r>
    </w:p>
    <w:p w14:paraId="11312598" w14:textId="751D8751" w:rsidR="00D62887" w:rsidRDefault="00D62887" w:rsidP="00D62887">
      <w:pPr>
        <w:jc w:val="center"/>
        <w:rPr>
          <w:rFonts w:ascii="Verdana" w:hAnsi="Verdana" w:cs="Arial"/>
          <w:b/>
          <w:lang w:val="es-MX"/>
        </w:rPr>
      </w:pPr>
      <w:r w:rsidRPr="0010018F">
        <w:rPr>
          <w:rFonts w:ascii="Verdana" w:hAnsi="Verdana" w:cs="Arial"/>
          <w:b/>
          <w:lang w:val="es-MX"/>
        </w:rPr>
        <w:t>Ejecución Presupuestaria</w:t>
      </w:r>
      <w:r>
        <w:rPr>
          <w:rFonts w:ascii="Verdana" w:hAnsi="Verdana" w:cs="Arial"/>
          <w:b/>
          <w:lang w:val="es-MX"/>
        </w:rPr>
        <w:t xml:space="preserve"> por Grupo de Gasto</w:t>
      </w:r>
    </w:p>
    <w:p w14:paraId="257BE5B4" w14:textId="4F3D860F" w:rsidR="00D62887" w:rsidRDefault="003E790A" w:rsidP="00D62887">
      <w:pPr>
        <w:jc w:val="center"/>
        <w:rPr>
          <w:rFonts w:ascii="Verdana" w:hAnsi="Verdana" w:cs="Arial"/>
          <w:b/>
          <w:lang w:val="es-MX"/>
        </w:rPr>
      </w:pPr>
      <w:r>
        <w:rPr>
          <w:rFonts w:ascii="Verdana" w:hAnsi="Verdana" w:cs="Arial"/>
          <w:b/>
          <w:noProof/>
          <w:lang w:eastAsia="es-GT"/>
        </w:rPr>
        <w:drawing>
          <wp:anchor distT="0" distB="0" distL="114300" distR="114300" simplePos="0" relativeHeight="251658240" behindDoc="1" locked="0" layoutInCell="1" allowOverlap="1" wp14:anchorId="7BF74682" wp14:editId="1D40B248">
            <wp:simplePos x="0" y="0"/>
            <wp:positionH relativeFrom="margin">
              <wp:posOffset>-470535</wp:posOffset>
            </wp:positionH>
            <wp:positionV relativeFrom="paragraph">
              <wp:posOffset>247650</wp:posOffset>
            </wp:positionV>
            <wp:extent cx="6711950" cy="5067300"/>
            <wp:effectExtent l="0" t="0" r="0" b="0"/>
            <wp:wrapTight wrapText="bothSides">
              <wp:wrapPolygon edited="0">
                <wp:start x="0" y="0"/>
                <wp:lineTo x="0" y="21519"/>
                <wp:lineTo x="21518" y="21519"/>
                <wp:lineTo x="21518"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1950" cy="5067300"/>
                    </a:xfrm>
                    <a:prstGeom prst="rect">
                      <a:avLst/>
                    </a:prstGeom>
                    <a:noFill/>
                  </pic:spPr>
                </pic:pic>
              </a:graphicData>
            </a:graphic>
            <wp14:sizeRelH relativeFrom="page">
              <wp14:pctWidth>0</wp14:pctWidth>
            </wp14:sizeRelH>
            <wp14:sizeRelV relativeFrom="page">
              <wp14:pctHeight>0</wp14:pctHeight>
            </wp14:sizeRelV>
          </wp:anchor>
        </w:drawing>
      </w:r>
      <w:r w:rsidR="00D62887">
        <w:rPr>
          <w:rFonts w:ascii="Verdana" w:hAnsi="Verdana" w:cs="Arial"/>
          <w:b/>
          <w:lang w:val="es-MX"/>
        </w:rPr>
        <w:t>(Montos en quetzales)</w:t>
      </w:r>
    </w:p>
    <w:p w14:paraId="624037AE" w14:textId="71DC520B" w:rsidR="00D42353" w:rsidRDefault="00D42353" w:rsidP="00B365D5">
      <w:pPr>
        <w:rPr>
          <w:rFonts w:ascii="Verdana" w:hAnsi="Verdana" w:cs="Arial"/>
          <w:b/>
          <w:lang w:val="es-MX"/>
        </w:rPr>
      </w:pPr>
    </w:p>
    <w:p w14:paraId="555EC2DE" w14:textId="08F2373B" w:rsidR="00B365D5" w:rsidRDefault="00B365D5" w:rsidP="00B365D5">
      <w:pPr>
        <w:rPr>
          <w:rFonts w:ascii="Verdana" w:hAnsi="Verdana" w:cs="Arial"/>
          <w:b/>
          <w:lang w:val="es-MX"/>
        </w:rPr>
      </w:pPr>
    </w:p>
    <w:p w14:paraId="3FB16AB1" w14:textId="2CBE7045" w:rsidR="00B365D5" w:rsidRDefault="00B365D5" w:rsidP="00B365D5">
      <w:pPr>
        <w:rPr>
          <w:rFonts w:ascii="Verdana" w:hAnsi="Verdana" w:cs="Arial"/>
          <w:b/>
          <w:lang w:val="es-MX"/>
        </w:rPr>
      </w:pPr>
    </w:p>
    <w:p w14:paraId="20E5D358" w14:textId="1AC5FE52" w:rsidR="00CF4BAF" w:rsidRDefault="00CF4BAF" w:rsidP="00B365D5">
      <w:pPr>
        <w:rPr>
          <w:rFonts w:ascii="Verdana" w:hAnsi="Verdana" w:cs="Arial"/>
          <w:b/>
          <w:lang w:val="es-MX"/>
        </w:rPr>
      </w:pPr>
    </w:p>
    <w:p w14:paraId="38BA3DDF" w14:textId="56043F15" w:rsidR="00CF4BAF" w:rsidRDefault="00CF4BAF" w:rsidP="00B365D5">
      <w:pPr>
        <w:rPr>
          <w:rFonts w:ascii="Verdana" w:hAnsi="Verdana" w:cs="Arial"/>
          <w:b/>
          <w:lang w:val="es-MX"/>
        </w:rPr>
      </w:pPr>
    </w:p>
    <w:p w14:paraId="7BF4FB0B" w14:textId="00004DDA" w:rsidR="003E790A" w:rsidRDefault="003E790A" w:rsidP="00B365D5">
      <w:pPr>
        <w:rPr>
          <w:rFonts w:ascii="Verdana" w:hAnsi="Verdana" w:cs="Arial"/>
          <w:b/>
          <w:lang w:val="es-MX"/>
        </w:rPr>
      </w:pPr>
    </w:p>
    <w:p w14:paraId="26B74705" w14:textId="77777777" w:rsidR="003E790A" w:rsidRDefault="003E790A" w:rsidP="00B365D5">
      <w:pPr>
        <w:rPr>
          <w:rFonts w:ascii="Verdana" w:hAnsi="Verdana" w:cs="Arial"/>
          <w:b/>
          <w:lang w:val="es-MX"/>
        </w:rPr>
      </w:pPr>
    </w:p>
    <w:p w14:paraId="1FAB9FB1" w14:textId="4B35ABA3" w:rsidR="00F74A9B" w:rsidRDefault="00F74A9B" w:rsidP="00B365D5">
      <w:pPr>
        <w:rPr>
          <w:rFonts w:ascii="Verdana" w:hAnsi="Verdana" w:cs="Arial"/>
          <w:b/>
          <w:lang w:val="es-MX"/>
        </w:rPr>
      </w:pPr>
    </w:p>
    <w:p w14:paraId="01BB3525" w14:textId="580F691C" w:rsidR="00F029AA" w:rsidRPr="0010018F" w:rsidRDefault="00F029AA" w:rsidP="00F029AA">
      <w:pPr>
        <w:jc w:val="center"/>
        <w:rPr>
          <w:rFonts w:ascii="Verdana" w:hAnsi="Verdana" w:cs="Arial"/>
          <w:b/>
          <w:lang w:val="es-MX"/>
        </w:rPr>
      </w:pPr>
      <w:r>
        <w:rPr>
          <w:rFonts w:ascii="Verdana" w:hAnsi="Verdana" w:cs="Arial"/>
          <w:b/>
          <w:lang w:val="es-MX"/>
        </w:rPr>
        <w:lastRenderedPageBreak/>
        <w:t>Cuadro No. 5</w:t>
      </w:r>
    </w:p>
    <w:p w14:paraId="05F28CA9" w14:textId="77777777" w:rsidR="00F029AA" w:rsidRPr="0010018F" w:rsidRDefault="00F029AA" w:rsidP="00F029AA">
      <w:pPr>
        <w:jc w:val="center"/>
        <w:rPr>
          <w:rFonts w:ascii="Verdana" w:hAnsi="Verdana" w:cs="Arial"/>
          <w:b/>
          <w:lang w:val="es-MX"/>
        </w:rPr>
      </w:pPr>
      <w:r w:rsidRPr="0010018F">
        <w:rPr>
          <w:rFonts w:ascii="Verdana" w:hAnsi="Verdana" w:cs="Arial"/>
          <w:b/>
          <w:lang w:val="es-MX"/>
        </w:rPr>
        <w:t>Viceministerio Administrativo y Financiero</w:t>
      </w:r>
    </w:p>
    <w:p w14:paraId="450AD60F" w14:textId="77777777" w:rsidR="00F029AA" w:rsidRDefault="00F029AA" w:rsidP="00F029AA">
      <w:pPr>
        <w:jc w:val="center"/>
        <w:rPr>
          <w:rFonts w:ascii="Verdana" w:hAnsi="Verdana" w:cs="Arial"/>
          <w:b/>
          <w:lang w:val="es-MX"/>
        </w:rPr>
      </w:pPr>
      <w:r w:rsidRPr="0010018F">
        <w:rPr>
          <w:rFonts w:ascii="Verdana" w:hAnsi="Verdana" w:cs="Arial"/>
          <w:b/>
          <w:lang w:val="es-MX"/>
        </w:rPr>
        <w:t xml:space="preserve">Informe de Ejecución </w:t>
      </w:r>
      <w:r>
        <w:rPr>
          <w:rFonts w:ascii="Verdana" w:hAnsi="Verdana" w:cs="Arial"/>
          <w:b/>
          <w:lang w:val="es-MX"/>
        </w:rPr>
        <w:t>Mensual</w:t>
      </w:r>
    </w:p>
    <w:p w14:paraId="4BC2E3CB" w14:textId="77777777" w:rsidR="00F029AA" w:rsidRPr="0010018F" w:rsidRDefault="00F029AA" w:rsidP="00F029AA">
      <w:pPr>
        <w:jc w:val="center"/>
        <w:rPr>
          <w:rFonts w:ascii="Verdana" w:hAnsi="Verdana" w:cs="Arial"/>
          <w:b/>
          <w:lang w:val="es-MX"/>
        </w:rPr>
      </w:pPr>
      <w:r>
        <w:rPr>
          <w:rFonts w:ascii="Verdana" w:hAnsi="Verdana" w:cs="Arial"/>
          <w:b/>
          <w:lang w:val="es-MX"/>
        </w:rPr>
        <w:t>(Montos en quetzales)</w:t>
      </w:r>
    </w:p>
    <w:p w14:paraId="0EA9B1F3" w14:textId="77777777" w:rsidR="00F029AA" w:rsidRPr="0010018F" w:rsidRDefault="00F029AA" w:rsidP="00F029AA">
      <w:pPr>
        <w:rPr>
          <w:rFonts w:ascii="Verdana" w:hAnsi="Verdana"/>
        </w:rPr>
      </w:pPr>
    </w:p>
    <w:p w14:paraId="5E209DBC" w14:textId="2F3FC0EB" w:rsidR="00F029AA" w:rsidRPr="0010018F" w:rsidRDefault="001448D3" w:rsidP="00F029AA">
      <w:pPr>
        <w:rPr>
          <w:rFonts w:ascii="Verdana" w:hAnsi="Verdana"/>
        </w:rPr>
      </w:pPr>
      <w:r w:rsidRPr="001448D3">
        <w:drawing>
          <wp:inline distT="0" distB="0" distL="0" distR="0" wp14:anchorId="54CA475A" wp14:editId="0A89E47F">
            <wp:extent cx="5612130" cy="4233288"/>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233288"/>
                    </a:xfrm>
                    <a:prstGeom prst="rect">
                      <a:avLst/>
                    </a:prstGeom>
                    <a:noFill/>
                    <a:ln>
                      <a:noFill/>
                    </a:ln>
                  </pic:spPr>
                </pic:pic>
              </a:graphicData>
            </a:graphic>
          </wp:inline>
        </w:drawing>
      </w:r>
    </w:p>
    <w:p w14:paraId="52116E24" w14:textId="400BBCF6" w:rsidR="00F029AA" w:rsidRPr="00625B83" w:rsidRDefault="00F029AA" w:rsidP="00F029AA">
      <w:pPr>
        <w:rPr>
          <w:rFonts w:ascii="Verdana" w:hAnsi="Verdana" w:cs="Arial"/>
          <w:lang w:val="es-MX"/>
        </w:rPr>
      </w:pPr>
    </w:p>
    <w:p w14:paraId="1D5D04A2" w14:textId="06E1D9F4" w:rsidR="00F029AA" w:rsidRPr="00625B83" w:rsidRDefault="00625B83" w:rsidP="00B22570">
      <w:pPr>
        <w:jc w:val="both"/>
        <w:rPr>
          <w:rFonts w:ascii="Verdana" w:hAnsi="Verdana" w:cs="Arial"/>
          <w:lang w:val="es-MX"/>
        </w:rPr>
      </w:pPr>
      <w:r w:rsidRPr="00625B83">
        <w:rPr>
          <w:rFonts w:ascii="Verdana" w:hAnsi="Verdana" w:cs="Arial"/>
          <w:lang w:val="es-MX"/>
        </w:rPr>
        <w:t xml:space="preserve">En el </w:t>
      </w:r>
      <w:r>
        <w:rPr>
          <w:rFonts w:ascii="Verdana" w:hAnsi="Verdana" w:cs="Arial"/>
          <w:lang w:val="es-MX"/>
        </w:rPr>
        <w:t xml:space="preserve">cuadro No. 5 </w:t>
      </w:r>
      <w:r w:rsidR="00B22570">
        <w:rPr>
          <w:rFonts w:ascii="Verdana" w:hAnsi="Verdana" w:cs="Arial"/>
          <w:lang w:val="es-MX"/>
        </w:rPr>
        <w:t xml:space="preserve">sobre la ejecución presupuestaria mensual, </w:t>
      </w:r>
      <w:r>
        <w:rPr>
          <w:rFonts w:ascii="Verdana" w:hAnsi="Verdana" w:cs="Arial"/>
          <w:lang w:val="es-MX"/>
        </w:rPr>
        <w:t>se p</w:t>
      </w:r>
      <w:r w:rsidR="00B22570">
        <w:rPr>
          <w:rFonts w:ascii="Verdana" w:hAnsi="Verdana" w:cs="Arial"/>
          <w:lang w:val="es-MX"/>
        </w:rPr>
        <w:t xml:space="preserve">uede observar un </w:t>
      </w:r>
      <w:r w:rsidR="0040186E">
        <w:rPr>
          <w:rFonts w:ascii="Verdana" w:hAnsi="Verdana" w:cs="Arial"/>
          <w:lang w:val="es-MX"/>
        </w:rPr>
        <w:t xml:space="preserve">mayor </w:t>
      </w:r>
      <w:r w:rsidR="00B22570">
        <w:rPr>
          <w:rFonts w:ascii="Verdana" w:hAnsi="Verdana" w:cs="Arial"/>
          <w:lang w:val="es-MX"/>
        </w:rPr>
        <w:t xml:space="preserve">porcentaje de ejecución </w:t>
      </w:r>
      <w:r w:rsidR="00FE45FE">
        <w:rPr>
          <w:rFonts w:ascii="Verdana" w:hAnsi="Verdana" w:cs="Arial"/>
          <w:lang w:val="es-MX"/>
        </w:rPr>
        <w:t>e</w:t>
      </w:r>
      <w:r w:rsidR="00B22570">
        <w:rPr>
          <w:rFonts w:ascii="Verdana" w:hAnsi="Verdana" w:cs="Arial"/>
          <w:lang w:val="es-MX"/>
        </w:rPr>
        <w:t xml:space="preserve">n </w:t>
      </w:r>
      <w:r w:rsidR="00FE45FE">
        <w:rPr>
          <w:rFonts w:ascii="Verdana" w:hAnsi="Verdana" w:cs="Arial"/>
          <w:lang w:val="es-MX"/>
        </w:rPr>
        <w:t>agosto</w:t>
      </w:r>
      <w:r w:rsidR="0040186E">
        <w:rPr>
          <w:rFonts w:ascii="Verdana" w:hAnsi="Verdana" w:cs="Arial"/>
          <w:lang w:val="es-MX"/>
        </w:rPr>
        <w:t xml:space="preserve"> del </w:t>
      </w:r>
      <w:r w:rsidR="00FE45FE">
        <w:rPr>
          <w:rFonts w:ascii="Verdana" w:hAnsi="Verdana" w:cs="Arial"/>
          <w:lang w:val="es-MX"/>
        </w:rPr>
        <w:t>7.03</w:t>
      </w:r>
      <w:r w:rsidR="0040186E">
        <w:rPr>
          <w:rFonts w:ascii="Verdana" w:hAnsi="Verdana" w:cs="Arial"/>
          <w:lang w:val="es-MX"/>
        </w:rPr>
        <w:t>%</w:t>
      </w:r>
      <w:r w:rsidR="00B22570">
        <w:rPr>
          <w:rFonts w:ascii="Verdana" w:hAnsi="Verdana" w:cs="Arial"/>
          <w:lang w:val="es-MX"/>
        </w:rPr>
        <w:t>, derivado del pago de sentencias judiciales en estado firme,</w:t>
      </w:r>
      <w:r w:rsidR="0040186E">
        <w:rPr>
          <w:rFonts w:ascii="Verdana" w:hAnsi="Verdana" w:cs="Arial"/>
          <w:lang w:val="es-MX"/>
        </w:rPr>
        <w:t xml:space="preserve"> </w:t>
      </w:r>
      <w:r w:rsidR="0052730E">
        <w:rPr>
          <w:rFonts w:ascii="Verdana" w:hAnsi="Verdana" w:cs="Arial"/>
          <w:lang w:val="es-MX"/>
        </w:rPr>
        <w:t xml:space="preserve">cabe indicar que el porcentaje de ejecución mensual es </w:t>
      </w:r>
      <w:r w:rsidR="0024743F">
        <w:rPr>
          <w:rFonts w:ascii="Verdana" w:hAnsi="Verdana" w:cs="Arial"/>
          <w:lang w:val="es-MX"/>
        </w:rPr>
        <w:t>de 5</w:t>
      </w:r>
      <w:r w:rsidR="0052730E">
        <w:rPr>
          <w:rFonts w:ascii="Verdana" w:hAnsi="Verdana" w:cs="Arial"/>
          <w:lang w:val="es-MX"/>
        </w:rPr>
        <w:t>.</w:t>
      </w:r>
      <w:r w:rsidR="0024743F">
        <w:rPr>
          <w:rFonts w:ascii="Verdana" w:hAnsi="Verdana" w:cs="Arial"/>
          <w:lang w:val="es-MX"/>
        </w:rPr>
        <w:t>64</w:t>
      </w:r>
      <w:r w:rsidR="0052730E">
        <w:rPr>
          <w:rFonts w:ascii="Verdana" w:hAnsi="Verdana" w:cs="Arial"/>
          <w:lang w:val="es-MX"/>
        </w:rPr>
        <w:t xml:space="preserve">%, por lo que </w:t>
      </w:r>
      <w:r w:rsidR="0024743F">
        <w:rPr>
          <w:rFonts w:ascii="Verdana" w:hAnsi="Verdana" w:cs="Arial"/>
          <w:lang w:val="es-MX"/>
        </w:rPr>
        <w:t xml:space="preserve">de mayo a </w:t>
      </w:r>
      <w:r w:rsidR="00D00158">
        <w:rPr>
          <w:rFonts w:ascii="Verdana" w:hAnsi="Verdana" w:cs="Arial"/>
          <w:lang w:val="es-MX"/>
        </w:rPr>
        <w:t>octubre</w:t>
      </w:r>
      <w:r w:rsidR="0052730E">
        <w:rPr>
          <w:rFonts w:ascii="Verdana" w:hAnsi="Verdana" w:cs="Arial"/>
          <w:lang w:val="es-MX"/>
        </w:rPr>
        <w:t xml:space="preserve"> se </w:t>
      </w:r>
      <w:r w:rsidR="0024743F">
        <w:rPr>
          <w:rFonts w:ascii="Verdana" w:hAnsi="Verdana" w:cs="Arial"/>
          <w:lang w:val="es-MX"/>
        </w:rPr>
        <w:t>superó e</w:t>
      </w:r>
      <w:r w:rsidR="002837DC">
        <w:rPr>
          <w:rFonts w:ascii="Verdana" w:hAnsi="Verdana" w:cs="Arial"/>
          <w:lang w:val="es-MX"/>
        </w:rPr>
        <w:t>l porcentaje promedio</w:t>
      </w:r>
      <w:r w:rsidR="0024743F">
        <w:rPr>
          <w:rFonts w:ascii="Verdana" w:hAnsi="Verdana" w:cs="Arial"/>
          <w:lang w:val="es-MX"/>
        </w:rPr>
        <w:t xml:space="preserve"> de ejecución.</w:t>
      </w:r>
    </w:p>
    <w:p w14:paraId="2BFF0E69" w14:textId="72D8A77C" w:rsidR="00F029AA" w:rsidRPr="00625B83" w:rsidRDefault="00F029AA" w:rsidP="00F029AA">
      <w:pPr>
        <w:rPr>
          <w:rFonts w:ascii="Verdana" w:hAnsi="Verdana" w:cs="Arial"/>
          <w:lang w:val="es-MX"/>
        </w:rPr>
      </w:pPr>
    </w:p>
    <w:p w14:paraId="7C9E3BFA" w14:textId="5D6FD071" w:rsidR="00F029AA" w:rsidRPr="00625B83" w:rsidRDefault="00F029AA" w:rsidP="00F029AA">
      <w:pPr>
        <w:rPr>
          <w:rFonts w:ascii="Verdana" w:hAnsi="Verdana" w:cs="Arial"/>
          <w:lang w:val="es-MX"/>
        </w:rPr>
      </w:pPr>
    </w:p>
    <w:p w14:paraId="259C6B2D" w14:textId="7CC854F1" w:rsidR="00F029AA" w:rsidRPr="00625B83" w:rsidRDefault="00F029AA" w:rsidP="00F029AA">
      <w:pPr>
        <w:rPr>
          <w:rFonts w:ascii="Verdana" w:hAnsi="Verdana" w:cs="Arial"/>
          <w:lang w:val="es-MX"/>
        </w:rPr>
      </w:pPr>
    </w:p>
    <w:p w14:paraId="2C6F9936" w14:textId="6A045BFE" w:rsidR="00F029AA" w:rsidRDefault="00F029AA" w:rsidP="00F029AA">
      <w:pPr>
        <w:rPr>
          <w:rFonts w:ascii="Verdana" w:hAnsi="Verdana" w:cs="Arial"/>
          <w:lang w:val="es-MX"/>
        </w:rPr>
      </w:pPr>
    </w:p>
    <w:p w14:paraId="444A0F84" w14:textId="7F466DCA" w:rsidR="005049A0" w:rsidRDefault="005049A0" w:rsidP="00F029AA">
      <w:pPr>
        <w:rPr>
          <w:rFonts w:ascii="Verdana" w:hAnsi="Verdana" w:cs="Arial"/>
          <w:lang w:val="es-MX"/>
        </w:rPr>
      </w:pPr>
    </w:p>
    <w:p w14:paraId="4BEEE5B4" w14:textId="3B9A54D7" w:rsidR="005049A0" w:rsidRDefault="005049A0" w:rsidP="00F029AA">
      <w:pPr>
        <w:rPr>
          <w:rFonts w:ascii="Verdana" w:hAnsi="Verdana" w:cs="Arial"/>
          <w:lang w:val="es-MX"/>
        </w:rPr>
      </w:pPr>
    </w:p>
    <w:p w14:paraId="2AB5907A" w14:textId="77777777" w:rsidR="00AC4D3C" w:rsidRPr="00625B83" w:rsidRDefault="00AC4D3C" w:rsidP="00F029AA">
      <w:pPr>
        <w:rPr>
          <w:rFonts w:ascii="Verdana" w:hAnsi="Verdana" w:cs="Arial"/>
          <w:lang w:val="es-MX"/>
        </w:rPr>
      </w:pPr>
    </w:p>
    <w:p w14:paraId="239BC046" w14:textId="4C6ECF3E" w:rsidR="00EC5230" w:rsidRPr="0010018F" w:rsidRDefault="00F029AA" w:rsidP="00EC5230">
      <w:pPr>
        <w:jc w:val="center"/>
        <w:rPr>
          <w:rFonts w:ascii="Verdana" w:hAnsi="Verdana" w:cs="Arial"/>
          <w:b/>
          <w:lang w:val="es-MX"/>
        </w:rPr>
      </w:pPr>
      <w:r>
        <w:rPr>
          <w:rFonts w:ascii="Verdana" w:hAnsi="Verdana" w:cs="Arial"/>
          <w:b/>
          <w:lang w:val="es-MX"/>
        </w:rPr>
        <w:lastRenderedPageBreak/>
        <w:t>Cuadro No. 6</w:t>
      </w:r>
    </w:p>
    <w:p w14:paraId="1B09E94D" w14:textId="6C508250" w:rsidR="00EC5230" w:rsidRPr="0010018F" w:rsidRDefault="00EC5230" w:rsidP="00EC5230">
      <w:pPr>
        <w:jc w:val="center"/>
        <w:rPr>
          <w:rFonts w:ascii="Verdana" w:hAnsi="Verdana" w:cs="Arial"/>
          <w:b/>
          <w:lang w:val="es-MX"/>
        </w:rPr>
      </w:pPr>
      <w:r w:rsidRPr="0010018F">
        <w:rPr>
          <w:rFonts w:ascii="Verdana" w:hAnsi="Verdana" w:cs="Arial"/>
          <w:b/>
          <w:lang w:val="es-MX"/>
        </w:rPr>
        <w:t>Viceministerio Administrativo y Financiero</w:t>
      </w:r>
    </w:p>
    <w:p w14:paraId="5982D073" w14:textId="6966183C" w:rsidR="005E467A" w:rsidRDefault="005E467A" w:rsidP="00EC5230">
      <w:pPr>
        <w:jc w:val="center"/>
        <w:rPr>
          <w:rFonts w:ascii="Verdana" w:hAnsi="Verdana" w:cs="Arial"/>
          <w:b/>
          <w:lang w:val="es-MX"/>
        </w:rPr>
      </w:pPr>
      <w:r w:rsidRPr="0010018F">
        <w:rPr>
          <w:rFonts w:ascii="Verdana" w:hAnsi="Verdana" w:cs="Arial"/>
          <w:b/>
          <w:lang w:val="es-MX"/>
        </w:rPr>
        <w:t>Informe de Ejecución de Cuota Financiera</w:t>
      </w:r>
    </w:p>
    <w:p w14:paraId="0CBCA0B9" w14:textId="165C880C" w:rsidR="00114AE5" w:rsidRPr="0010018F" w:rsidRDefault="00114AE5" w:rsidP="00EC5230">
      <w:pPr>
        <w:jc w:val="center"/>
        <w:rPr>
          <w:rFonts w:ascii="Verdana" w:hAnsi="Verdana" w:cs="Arial"/>
          <w:b/>
          <w:lang w:val="es-MX"/>
        </w:rPr>
      </w:pPr>
      <w:r>
        <w:rPr>
          <w:rFonts w:ascii="Verdana" w:hAnsi="Verdana" w:cs="Arial"/>
          <w:b/>
          <w:lang w:val="es-MX"/>
        </w:rPr>
        <w:t>(Montos en quetzales)</w:t>
      </w:r>
    </w:p>
    <w:p w14:paraId="6211E536" w14:textId="11100CCD" w:rsidR="0063380F" w:rsidRPr="0010018F" w:rsidRDefault="0063380F" w:rsidP="003C58C1">
      <w:pPr>
        <w:rPr>
          <w:rFonts w:ascii="Verdana" w:hAnsi="Verdana"/>
          <w:noProof/>
          <w:lang w:eastAsia="es-GT"/>
        </w:rPr>
      </w:pPr>
    </w:p>
    <w:p w14:paraId="3C07697F" w14:textId="086A15F3" w:rsidR="002669D7" w:rsidRPr="0010018F" w:rsidRDefault="00B703FD" w:rsidP="003C58C1">
      <w:pPr>
        <w:jc w:val="center"/>
        <w:rPr>
          <w:rFonts w:ascii="Verdana" w:hAnsi="Verdana" w:cs="Arial"/>
          <w:b/>
          <w:lang w:val="es-MX"/>
        </w:rPr>
      </w:pPr>
      <w:r w:rsidRPr="00B703FD">
        <w:drawing>
          <wp:inline distT="0" distB="0" distL="0" distR="0" wp14:anchorId="297E213C" wp14:editId="0C68D2F3">
            <wp:extent cx="5612016" cy="3009900"/>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7194" cy="3023404"/>
                    </a:xfrm>
                    <a:prstGeom prst="rect">
                      <a:avLst/>
                    </a:prstGeom>
                    <a:noFill/>
                    <a:ln>
                      <a:noFill/>
                    </a:ln>
                  </pic:spPr>
                </pic:pic>
              </a:graphicData>
            </a:graphic>
          </wp:inline>
        </w:drawing>
      </w:r>
    </w:p>
    <w:p w14:paraId="374D9C5E" w14:textId="77777777" w:rsidR="002669D7" w:rsidRDefault="002669D7" w:rsidP="003C58C1">
      <w:pPr>
        <w:jc w:val="center"/>
        <w:rPr>
          <w:rFonts w:ascii="Verdana" w:hAnsi="Verdana" w:cs="Arial"/>
          <w:b/>
          <w:sz w:val="16"/>
          <w:lang w:val="es-MX"/>
        </w:rPr>
      </w:pPr>
    </w:p>
    <w:p w14:paraId="36F9B08D" w14:textId="1119FFED" w:rsidR="003C58C1" w:rsidRDefault="003C58C1" w:rsidP="003C58C1">
      <w:pPr>
        <w:rPr>
          <w:rFonts w:ascii="Verdana" w:hAnsi="Verdana" w:cs="Arial"/>
          <w:lang w:val="es-MX"/>
        </w:rPr>
      </w:pPr>
    </w:p>
    <w:p w14:paraId="0E11C75C" w14:textId="14E68F6E" w:rsidR="00A061E8" w:rsidRPr="00406FDF" w:rsidRDefault="00642DC0" w:rsidP="00A061E8">
      <w:pPr>
        <w:jc w:val="both"/>
        <w:rPr>
          <w:rFonts w:ascii="Verdana" w:hAnsi="Verdana" w:cs="Arial"/>
          <w:color w:val="000000" w:themeColor="text1"/>
          <w:lang w:val="es-MX"/>
        </w:rPr>
      </w:pPr>
      <w:r>
        <w:rPr>
          <w:rFonts w:ascii="Verdana" w:hAnsi="Verdana" w:cs="Arial"/>
          <w:lang w:val="es-MX"/>
        </w:rPr>
        <w:t xml:space="preserve">De acuerdo a la cuota aprobada por parte del Copep para </w:t>
      </w:r>
      <w:r w:rsidR="00D00158">
        <w:rPr>
          <w:rFonts w:ascii="Verdana" w:hAnsi="Verdana" w:cs="Arial"/>
          <w:lang w:val="es-MX"/>
        </w:rPr>
        <w:t>octubre</w:t>
      </w:r>
      <w:r>
        <w:rPr>
          <w:rFonts w:ascii="Verdana" w:hAnsi="Verdana" w:cs="Arial"/>
          <w:lang w:val="es-MX"/>
        </w:rPr>
        <w:t xml:space="preserve"> 2024, se ejecut</w:t>
      </w:r>
      <w:r w:rsidR="0024743F">
        <w:rPr>
          <w:rFonts w:ascii="Verdana" w:hAnsi="Verdana" w:cs="Arial"/>
          <w:lang w:val="es-MX"/>
        </w:rPr>
        <w:t>ó</w:t>
      </w:r>
      <w:r>
        <w:rPr>
          <w:rFonts w:ascii="Verdana" w:hAnsi="Verdana" w:cs="Arial"/>
          <w:lang w:val="es-MX"/>
        </w:rPr>
        <w:t xml:space="preserve"> el 9</w:t>
      </w:r>
      <w:r w:rsidR="0062737C">
        <w:rPr>
          <w:rFonts w:ascii="Verdana" w:hAnsi="Verdana" w:cs="Arial"/>
          <w:lang w:val="es-MX"/>
        </w:rPr>
        <w:t>7</w:t>
      </w:r>
      <w:r>
        <w:rPr>
          <w:rFonts w:ascii="Verdana" w:hAnsi="Verdana" w:cs="Arial"/>
          <w:lang w:val="es-MX"/>
        </w:rPr>
        <w:t>.</w:t>
      </w:r>
      <w:r w:rsidR="0062737C">
        <w:rPr>
          <w:rFonts w:ascii="Verdana" w:hAnsi="Verdana" w:cs="Arial"/>
          <w:lang w:val="es-MX"/>
        </w:rPr>
        <w:t>82</w:t>
      </w:r>
      <w:r>
        <w:rPr>
          <w:rFonts w:ascii="Verdana" w:hAnsi="Verdana" w:cs="Arial"/>
          <w:lang w:val="es-MX"/>
        </w:rPr>
        <w:t>%</w:t>
      </w:r>
      <w:r w:rsidR="0024743F">
        <w:rPr>
          <w:rFonts w:ascii="Verdana" w:hAnsi="Verdana" w:cs="Arial"/>
          <w:lang w:val="es-MX"/>
        </w:rPr>
        <w:t xml:space="preserve">, </w:t>
      </w:r>
      <w:r w:rsidR="002F501D">
        <w:rPr>
          <w:rFonts w:ascii="Verdana" w:hAnsi="Verdana" w:cs="Arial"/>
          <w:lang w:val="es-MX"/>
        </w:rPr>
        <w:t>el cual esta desglosado de la siguiente manera:</w:t>
      </w:r>
      <w:r w:rsidR="00DF5E1E">
        <w:rPr>
          <w:rFonts w:ascii="Verdana" w:hAnsi="Verdana" w:cs="Arial"/>
          <w:lang w:val="es-MX"/>
        </w:rPr>
        <w:t xml:space="preserve">   </w:t>
      </w:r>
      <w:r w:rsidR="002F501D">
        <w:rPr>
          <w:rFonts w:ascii="Verdana" w:hAnsi="Verdana" w:cs="Arial"/>
          <w:lang w:val="es-MX"/>
        </w:rPr>
        <w:t xml:space="preserve"> </w:t>
      </w:r>
      <w:r w:rsidR="00A061E8" w:rsidRPr="00406FDF">
        <w:rPr>
          <w:rFonts w:ascii="Verdana" w:hAnsi="Verdana" w:cs="Arial"/>
          <w:b/>
          <w:color w:val="000000" w:themeColor="text1"/>
          <w:lang w:val="es-MX"/>
        </w:rPr>
        <w:t>a) grupo cero 000</w:t>
      </w:r>
      <w:r w:rsidR="00A061E8" w:rsidRPr="00406FDF">
        <w:rPr>
          <w:rFonts w:ascii="Verdana" w:hAnsi="Verdana" w:cs="Arial"/>
          <w:color w:val="000000" w:themeColor="text1"/>
          <w:lang w:val="es-MX"/>
        </w:rPr>
        <w:t xml:space="preserve"> el cual está contemplado el pago de nómina de pers</w:t>
      </w:r>
      <w:r w:rsidR="000D7E8F">
        <w:rPr>
          <w:rFonts w:ascii="Verdana" w:hAnsi="Verdana" w:cs="Arial"/>
          <w:color w:val="000000" w:themeColor="text1"/>
          <w:lang w:val="es-MX"/>
        </w:rPr>
        <w:t>onal</w:t>
      </w:r>
      <w:r w:rsidR="00A061E8" w:rsidRPr="00406FDF">
        <w:rPr>
          <w:rFonts w:ascii="Verdana" w:hAnsi="Verdana" w:cs="Arial"/>
          <w:color w:val="000000" w:themeColor="text1"/>
          <w:lang w:val="es-MX"/>
        </w:rPr>
        <w:t xml:space="preserve"> bajo el renglón 011 y persona</w:t>
      </w:r>
      <w:r w:rsidR="000D7E8F">
        <w:rPr>
          <w:rFonts w:ascii="Verdana" w:hAnsi="Verdana" w:cs="Arial"/>
          <w:color w:val="000000" w:themeColor="text1"/>
          <w:lang w:val="es-MX"/>
        </w:rPr>
        <w:t>l</w:t>
      </w:r>
      <w:r w:rsidR="00A061E8" w:rsidRPr="00406FDF">
        <w:rPr>
          <w:rFonts w:ascii="Verdana" w:hAnsi="Verdana" w:cs="Arial"/>
          <w:color w:val="000000" w:themeColor="text1"/>
          <w:lang w:val="es-MX"/>
        </w:rPr>
        <w:t xml:space="preserve"> bajo el renglón 029 por un monto de </w:t>
      </w:r>
      <w:proofErr w:type="spellStart"/>
      <w:r w:rsidR="00A061E8" w:rsidRPr="00406FDF">
        <w:rPr>
          <w:rFonts w:ascii="Verdana" w:hAnsi="Verdana" w:cs="Arial"/>
          <w:color w:val="000000" w:themeColor="text1"/>
          <w:lang w:val="es-MX"/>
        </w:rPr>
        <w:t>Q</w:t>
      </w:r>
      <w:r w:rsidR="00A061E8">
        <w:rPr>
          <w:rFonts w:ascii="Verdana" w:hAnsi="Verdana" w:cs="Arial"/>
          <w:color w:val="000000" w:themeColor="text1"/>
          <w:lang w:val="es-MX"/>
        </w:rPr>
        <w:t>4</w:t>
      </w:r>
      <w:r w:rsidR="00A061E8" w:rsidRPr="00406FDF">
        <w:rPr>
          <w:rFonts w:ascii="Verdana" w:hAnsi="Verdana" w:cs="Arial"/>
          <w:color w:val="000000" w:themeColor="text1"/>
          <w:lang w:val="es-MX"/>
        </w:rPr>
        <w:t>,</w:t>
      </w:r>
      <w:r w:rsidR="00A061E8">
        <w:rPr>
          <w:rFonts w:ascii="Verdana" w:hAnsi="Verdana" w:cs="Arial"/>
          <w:color w:val="000000" w:themeColor="text1"/>
          <w:lang w:val="es-MX"/>
        </w:rPr>
        <w:t>057</w:t>
      </w:r>
      <w:r w:rsidR="00A061E8" w:rsidRPr="00406FDF">
        <w:rPr>
          <w:rFonts w:ascii="Verdana" w:hAnsi="Verdana" w:cs="Arial"/>
          <w:color w:val="000000" w:themeColor="text1"/>
          <w:lang w:val="es-MX"/>
        </w:rPr>
        <w:t>,</w:t>
      </w:r>
      <w:r w:rsidR="00A061E8">
        <w:rPr>
          <w:rFonts w:ascii="Verdana" w:hAnsi="Verdana" w:cs="Arial"/>
          <w:color w:val="000000" w:themeColor="text1"/>
          <w:lang w:val="es-MX"/>
        </w:rPr>
        <w:t>735.80</w:t>
      </w:r>
      <w:proofErr w:type="spellEnd"/>
      <w:r w:rsidR="00A061E8" w:rsidRPr="00406FDF">
        <w:rPr>
          <w:rFonts w:ascii="Verdana" w:hAnsi="Verdana" w:cs="Arial"/>
          <w:color w:val="000000" w:themeColor="text1"/>
          <w:lang w:val="es-MX"/>
        </w:rPr>
        <w:t>.</w:t>
      </w:r>
      <w:r w:rsidR="00B3599F">
        <w:rPr>
          <w:rFonts w:ascii="Verdana" w:hAnsi="Verdana" w:cs="Arial"/>
          <w:color w:val="000000" w:themeColor="text1"/>
          <w:lang w:val="es-MX"/>
        </w:rPr>
        <w:t xml:space="preserve"> </w:t>
      </w:r>
      <w:r w:rsidR="00A061E8" w:rsidRPr="00406FDF">
        <w:rPr>
          <w:rFonts w:ascii="Verdana" w:hAnsi="Verdana" w:cs="Arial"/>
          <w:color w:val="000000" w:themeColor="text1"/>
          <w:lang w:val="es-MX"/>
        </w:rPr>
        <w:t xml:space="preserve"> </w:t>
      </w:r>
      <w:r w:rsidR="00A061E8" w:rsidRPr="00406FDF">
        <w:rPr>
          <w:rFonts w:ascii="Verdana" w:hAnsi="Verdana" w:cs="Arial"/>
          <w:b/>
          <w:color w:val="000000" w:themeColor="text1"/>
          <w:lang w:val="es-MX"/>
        </w:rPr>
        <w:t>b) Grupo 100 Servicios no personales</w:t>
      </w:r>
      <w:r w:rsidR="00A061E8" w:rsidRPr="00406FDF">
        <w:rPr>
          <w:rFonts w:ascii="Verdana" w:hAnsi="Verdana" w:cs="Arial"/>
          <w:color w:val="000000" w:themeColor="text1"/>
          <w:lang w:val="es-MX"/>
        </w:rPr>
        <w:t xml:space="preserve"> el cual están incluidos; servicios básicos, limpieza, honorarios de servicios médicos (2 médicos) pagos mensuales derivado del contrato de arrendamiento de las oficinas, arrendamiento de bodega de archivo e inventarios, bodega de resguardo vehículos en proceso de baja, pago de siete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servicio de aromatizadores, </w:t>
      </w:r>
      <w:proofErr w:type="spellStart"/>
      <w:r w:rsidR="00A061E8" w:rsidRPr="00406FDF">
        <w:rPr>
          <w:rFonts w:ascii="Verdana" w:hAnsi="Verdana" w:cs="Arial"/>
          <w:color w:val="000000" w:themeColor="text1"/>
          <w:lang w:val="es-MX"/>
        </w:rPr>
        <w:t>desodorizadore</w:t>
      </w:r>
      <w:r w:rsidR="00E6435A">
        <w:rPr>
          <w:rFonts w:ascii="Verdana" w:hAnsi="Verdana" w:cs="Arial"/>
          <w:color w:val="000000" w:themeColor="text1"/>
          <w:lang w:val="es-MX"/>
        </w:rPr>
        <w:t>s</w:t>
      </w:r>
      <w:proofErr w:type="spellEnd"/>
      <w:r w:rsidR="00E6435A">
        <w:rPr>
          <w:rFonts w:ascii="Verdana" w:hAnsi="Verdana" w:cs="Arial"/>
          <w:color w:val="000000" w:themeColor="text1"/>
          <w:lang w:val="es-MX"/>
        </w:rPr>
        <w:t>, y 7 filtros para mingitorios</w:t>
      </w:r>
      <w:r w:rsidR="00A061E8" w:rsidRPr="00406FDF">
        <w:rPr>
          <w:rFonts w:ascii="Verdana" w:hAnsi="Verdana" w:cs="Arial"/>
          <w:color w:val="000000" w:themeColor="text1"/>
          <w:lang w:val="es-MX"/>
        </w:rPr>
        <w:t xml:space="preserve"> del Edificio Central del Ministerio de Economía, servicio de monitoreo de alarmas de ingreso y egreso (movimientos) por un monto de </w:t>
      </w:r>
      <w:proofErr w:type="spellStart"/>
      <w:r w:rsidR="00A061E8" w:rsidRPr="00406FDF">
        <w:rPr>
          <w:rFonts w:ascii="Verdana" w:hAnsi="Verdana" w:cs="Arial"/>
          <w:color w:val="000000" w:themeColor="text1"/>
          <w:lang w:val="es-MX"/>
        </w:rPr>
        <w:t>Q</w:t>
      </w:r>
      <w:r w:rsidR="00A061E8">
        <w:rPr>
          <w:rFonts w:ascii="Verdana" w:hAnsi="Verdana" w:cs="Arial"/>
          <w:color w:val="000000" w:themeColor="text1"/>
          <w:lang w:val="es-MX"/>
        </w:rPr>
        <w:t>1,701</w:t>
      </w:r>
      <w:r w:rsidR="00A061E8" w:rsidRPr="00406FDF">
        <w:rPr>
          <w:rFonts w:ascii="Verdana" w:hAnsi="Verdana" w:cs="Arial"/>
          <w:color w:val="000000" w:themeColor="text1"/>
          <w:lang w:val="es-MX"/>
        </w:rPr>
        <w:t>,</w:t>
      </w:r>
      <w:r w:rsidR="00A061E8">
        <w:rPr>
          <w:rFonts w:ascii="Verdana" w:hAnsi="Verdana" w:cs="Arial"/>
          <w:color w:val="000000" w:themeColor="text1"/>
          <w:lang w:val="es-MX"/>
        </w:rPr>
        <w:t>158</w:t>
      </w:r>
      <w:r w:rsidR="00A061E8" w:rsidRPr="00406FDF">
        <w:rPr>
          <w:rFonts w:ascii="Verdana" w:hAnsi="Verdana" w:cs="Arial"/>
          <w:color w:val="000000" w:themeColor="text1"/>
          <w:lang w:val="es-MX"/>
        </w:rPr>
        <w:t>.</w:t>
      </w:r>
      <w:r w:rsidR="00A061E8">
        <w:rPr>
          <w:rFonts w:ascii="Verdana" w:hAnsi="Verdana" w:cs="Arial"/>
          <w:color w:val="000000" w:themeColor="text1"/>
          <w:lang w:val="es-MX"/>
        </w:rPr>
        <w:t>57</w:t>
      </w:r>
      <w:proofErr w:type="spellEnd"/>
      <w:r w:rsidR="00A061E8" w:rsidRPr="00406FDF">
        <w:rPr>
          <w:rFonts w:ascii="Verdana" w:hAnsi="Verdana" w:cs="Arial"/>
          <w:color w:val="000000" w:themeColor="text1"/>
          <w:lang w:val="es-MX"/>
        </w:rPr>
        <w:t>.</w:t>
      </w:r>
      <w:r w:rsidR="00B3599F">
        <w:rPr>
          <w:rFonts w:ascii="Verdana" w:hAnsi="Verdana" w:cs="Arial"/>
          <w:color w:val="000000" w:themeColor="text1"/>
          <w:lang w:val="es-MX"/>
        </w:rPr>
        <w:t xml:space="preserve"> </w:t>
      </w:r>
      <w:r w:rsidR="00A061E8" w:rsidRPr="00406FDF">
        <w:rPr>
          <w:rFonts w:ascii="Verdana" w:hAnsi="Verdana" w:cs="Arial"/>
          <w:color w:val="000000" w:themeColor="text1"/>
          <w:lang w:val="es-MX"/>
        </w:rPr>
        <w:t xml:space="preserve"> </w:t>
      </w:r>
      <w:r w:rsidR="00A061E8" w:rsidRPr="00406FDF">
        <w:rPr>
          <w:rFonts w:ascii="Verdana" w:hAnsi="Verdana" w:cs="Arial"/>
          <w:b/>
          <w:color w:val="000000" w:themeColor="text1"/>
          <w:lang w:val="es-MX"/>
        </w:rPr>
        <w:t>c) Grupo 200 Materiales y Suministros</w:t>
      </w:r>
      <w:r w:rsidR="00A061E8" w:rsidRPr="00406FDF">
        <w:rPr>
          <w:rFonts w:ascii="Verdana" w:hAnsi="Verdana" w:cs="Arial"/>
          <w:color w:val="000000" w:themeColor="text1"/>
          <w:lang w:val="es-MX"/>
        </w:rPr>
        <w:t xml:space="preserve"> el cual </w:t>
      </w:r>
      <w:r w:rsidR="00A061E8" w:rsidRPr="00406FDF">
        <w:rPr>
          <w:rFonts w:ascii="Verdana" w:hAnsi="Verdana" w:cs="Arial"/>
          <w:color w:val="000000" w:themeColor="text1"/>
          <w:lang w:val="es-MX"/>
        </w:rPr>
        <w:lastRenderedPageBreak/>
        <w:t xml:space="preserve">está incluido; compra de paquetes de café tostado y molido, frascos de café instantáneo, frascos de </w:t>
      </w:r>
      <w:proofErr w:type="spellStart"/>
      <w:r w:rsidR="00A061E8" w:rsidRPr="00406FDF">
        <w:rPr>
          <w:rFonts w:ascii="Verdana" w:hAnsi="Verdana" w:cs="Arial"/>
          <w:color w:val="000000" w:themeColor="text1"/>
          <w:lang w:val="es-MX"/>
        </w:rPr>
        <w:t>cremora</w:t>
      </w:r>
      <w:proofErr w:type="spellEnd"/>
      <w:r w:rsidR="00A061E8" w:rsidRPr="00406FDF">
        <w:rPr>
          <w:rFonts w:ascii="Verdana" w:hAnsi="Verdana" w:cs="Arial"/>
          <w:color w:val="000000" w:themeColor="text1"/>
          <w:lang w:val="es-MX"/>
        </w:rPr>
        <w:t xml:space="preserve"> y bolsas de azúcar para uso del personal de la Dirección de Servicios al Comercio,  compra de grapas, marcadores, tape mágico, </w:t>
      </w:r>
      <w:proofErr w:type="spellStart"/>
      <w:r w:rsidR="00A061E8" w:rsidRPr="00406FDF">
        <w:rPr>
          <w:rFonts w:ascii="Verdana" w:hAnsi="Verdana" w:cs="Arial"/>
          <w:color w:val="000000" w:themeColor="text1"/>
          <w:lang w:val="es-MX"/>
        </w:rPr>
        <w:t>humedecedor</w:t>
      </w:r>
      <w:proofErr w:type="spellEnd"/>
      <w:r w:rsidR="00A061E8" w:rsidRPr="00406FDF">
        <w:rPr>
          <w:rFonts w:ascii="Verdana" w:hAnsi="Verdana" w:cs="Arial"/>
          <w:color w:val="000000" w:themeColor="text1"/>
          <w:lang w:val="es-MX"/>
        </w:rPr>
        <w:t xml:space="preserve">, </w:t>
      </w:r>
      <w:proofErr w:type="spellStart"/>
      <w:r w:rsidR="00A061E8" w:rsidRPr="00406FDF">
        <w:rPr>
          <w:rFonts w:ascii="Verdana" w:hAnsi="Verdana" w:cs="Arial"/>
          <w:color w:val="000000" w:themeColor="text1"/>
          <w:lang w:val="es-MX"/>
        </w:rPr>
        <w:t>sacagrapas</w:t>
      </w:r>
      <w:proofErr w:type="spellEnd"/>
      <w:r w:rsidR="00A061E8" w:rsidRPr="00406FDF">
        <w:rPr>
          <w:rFonts w:ascii="Verdana" w:hAnsi="Verdana" w:cs="Arial"/>
          <w:color w:val="000000" w:themeColor="text1"/>
          <w:lang w:val="es-MX"/>
        </w:rPr>
        <w:t xml:space="preserve"> para abastecer el stock del almacén de la Dirección Administrativa del Ministerio de Economía, compra de accesorios de computadora para ser utilizados por personal de la Dirección de Recursos Humanos del Ministerio de Economía y compra de productos de limpieza que serán utilizados por el personal de manten</w:t>
      </w:r>
      <w:r w:rsidR="00A061E8">
        <w:rPr>
          <w:rFonts w:ascii="Verdana" w:hAnsi="Verdana" w:cs="Arial"/>
          <w:color w:val="000000" w:themeColor="text1"/>
          <w:lang w:val="es-MX"/>
        </w:rPr>
        <w:t>imiento</w:t>
      </w:r>
      <w:r w:rsidR="00E6435A">
        <w:rPr>
          <w:rFonts w:ascii="Verdana" w:hAnsi="Verdana" w:cs="Arial"/>
          <w:color w:val="000000" w:themeColor="text1"/>
          <w:lang w:val="es-MX"/>
        </w:rPr>
        <w:t>,</w:t>
      </w:r>
      <w:r w:rsidR="00A061E8">
        <w:rPr>
          <w:rFonts w:ascii="Verdana" w:hAnsi="Verdana" w:cs="Arial"/>
          <w:color w:val="000000" w:themeColor="text1"/>
          <w:lang w:val="es-MX"/>
        </w:rPr>
        <w:t xml:space="preserve"> compra de uniformes y camisas para el personal Administrativo del Ministerio de Economía </w:t>
      </w:r>
      <w:r w:rsidR="00A061E8" w:rsidRPr="00406FDF">
        <w:rPr>
          <w:rFonts w:ascii="Verdana" w:hAnsi="Verdana" w:cs="Arial"/>
          <w:color w:val="000000" w:themeColor="text1"/>
          <w:lang w:val="es-MX"/>
        </w:rPr>
        <w:t xml:space="preserve">por un monto de </w:t>
      </w:r>
      <w:proofErr w:type="spellStart"/>
      <w:r w:rsidR="00A061E8" w:rsidRPr="00406FDF">
        <w:rPr>
          <w:rFonts w:ascii="Verdana" w:hAnsi="Verdana" w:cs="Arial"/>
          <w:color w:val="000000" w:themeColor="text1"/>
          <w:lang w:val="es-MX"/>
        </w:rPr>
        <w:t>Q</w:t>
      </w:r>
      <w:r w:rsidR="00A061E8">
        <w:rPr>
          <w:rFonts w:ascii="Verdana" w:hAnsi="Verdana" w:cs="Arial"/>
          <w:color w:val="000000" w:themeColor="text1"/>
          <w:lang w:val="es-MX"/>
        </w:rPr>
        <w:t>397</w:t>
      </w:r>
      <w:r w:rsidR="00A061E8" w:rsidRPr="00406FDF">
        <w:rPr>
          <w:rFonts w:ascii="Verdana" w:hAnsi="Verdana" w:cs="Arial"/>
          <w:color w:val="000000" w:themeColor="text1"/>
          <w:lang w:val="es-MX"/>
        </w:rPr>
        <w:t>,</w:t>
      </w:r>
      <w:r w:rsidR="00A061E8">
        <w:rPr>
          <w:rFonts w:ascii="Verdana" w:hAnsi="Verdana" w:cs="Arial"/>
          <w:color w:val="000000" w:themeColor="text1"/>
          <w:lang w:val="es-MX"/>
        </w:rPr>
        <w:t>494</w:t>
      </w:r>
      <w:r w:rsidR="00A061E8" w:rsidRPr="00406FDF">
        <w:rPr>
          <w:rFonts w:ascii="Verdana" w:hAnsi="Verdana" w:cs="Arial"/>
          <w:color w:val="000000" w:themeColor="text1"/>
          <w:lang w:val="es-MX"/>
        </w:rPr>
        <w:t>.</w:t>
      </w:r>
      <w:r w:rsidR="00A061E8">
        <w:rPr>
          <w:rFonts w:ascii="Verdana" w:hAnsi="Verdana" w:cs="Arial"/>
          <w:color w:val="000000" w:themeColor="text1"/>
          <w:lang w:val="es-MX"/>
        </w:rPr>
        <w:t>84</w:t>
      </w:r>
      <w:proofErr w:type="spellEnd"/>
      <w:r w:rsidR="00DF5E1E">
        <w:rPr>
          <w:rFonts w:ascii="Verdana" w:hAnsi="Verdana" w:cs="Arial"/>
          <w:color w:val="000000" w:themeColor="text1"/>
          <w:lang w:val="es-MX"/>
        </w:rPr>
        <w:t>.</w:t>
      </w:r>
      <w:r w:rsidR="00A061E8" w:rsidRPr="00406FDF">
        <w:rPr>
          <w:rFonts w:ascii="Verdana" w:hAnsi="Verdana" w:cs="Arial"/>
          <w:color w:val="000000" w:themeColor="text1"/>
          <w:lang w:val="es-MX"/>
        </w:rPr>
        <w:t xml:space="preserve"> </w:t>
      </w:r>
      <w:r w:rsidR="00A061E8" w:rsidRPr="00406FDF">
        <w:rPr>
          <w:rFonts w:ascii="Verdana" w:hAnsi="Verdana" w:cs="Arial"/>
          <w:b/>
          <w:color w:val="000000" w:themeColor="text1"/>
          <w:lang w:val="es-MX"/>
        </w:rPr>
        <w:t xml:space="preserve">d) Grupo 300 Propiedad. Planta, Equipo e Intangibles </w:t>
      </w:r>
      <w:r w:rsidR="00E6435A">
        <w:rPr>
          <w:rFonts w:ascii="Verdana" w:hAnsi="Verdana" w:cs="Arial"/>
          <w:color w:val="000000" w:themeColor="text1"/>
          <w:lang w:val="es-MX"/>
        </w:rPr>
        <w:t>el cual está incluido:</w:t>
      </w:r>
      <w:r w:rsidR="00A061E8" w:rsidRPr="00406FDF">
        <w:rPr>
          <w:rFonts w:ascii="Verdana" w:hAnsi="Verdana" w:cs="Arial"/>
          <w:color w:val="000000" w:themeColor="text1"/>
          <w:lang w:val="es-MX"/>
        </w:rPr>
        <w:t xml:space="preserve"> compra </w:t>
      </w:r>
      <w:r w:rsidR="00A061E8">
        <w:rPr>
          <w:rFonts w:ascii="Verdana" w:hAnsi="Verdana" w:cs="Arial"/>
          <w:color w:val="000000" w:themeColor="text1"/>
          <w:lang w:val="es-MX"/>
        </w:rPr>
        <w:t xml:space="preserve">de 15 computadoras de escritorio para ser utilizadas por el personal del Ministerio de Comunicaciones, </w:t>
      </w:r>
      <w:r w:rsidR="00E6435A">
        <w:rPr>
          <w:rFonts w:ascii="Verdana" w:hAnsi="Verdana" w:cs="Arial"/>
          <w:color w:val="000000" w:themeColor="text1"/>
          <w:lang w:val="es-MX"/>
        </w:rPr>
        <w:t>c</w:t>
      </w:r>
      <w:r w:rsidR="00A061E8">
        <w:rPr>
          <w:rFonts w:ascii="Verdana" w:hAnsi="Verdana" w:cs="Arial"/>
          <w:color w:val="000000" w:themeColor="text1"/>
          <w:lang w:val="es-MX"/>
        </w:rPr>
        <w:t xml:space="preserve">ompra </w:t>
      </w:r>
      <w:r w:rsidR="00A061E8" w:rsidRPr="00406FDF">
        <w:rPr>
          <w:rFonts w:ascii="Verdana" w:hAnsi="Verdana" w:cs="Arial"/>
          <w:color w:val="000000" w:themeColor="text1"/>
          <w:lang w:val="es-MX"/>
        </w:rPr>
        <w:t xml:space="preserve">de 1 </w:t>
      </w:r>
      <w:r w:rsidR="00E6435A">
        <w:rPr>
          <w:rFonts w:ascii="Verdana" w:hAnsi="Verdana" w:cs="Arial"/>
          <w:color w:val="000000" w:themeColor="text1"/>
          <w:lang w:val="es-MX"/>
        </w:rPr>
        <w:t>r</w:t>
      </w:r>
      <w:r w:rsidR="00A061E8" w:rsidRPr="00406FDF">
        <w:rPr>
          <w:rFonts w:ascii="Verdana" w:hAnsi="Verdana" w:cs="Arial"/>
          <w:color w:val="000000" w:themeColor="text1"/>
          <w:lang w:val="es-MX"/>
        </w:rPr>
        <w:t xml:space="preserve">eloj </w:t>
      </w:r>
      <w:r w:rsidR="00E6435A">
        <w:rPr>
          <w:rFonts w:ascii="Verdana" w:hAnsi="Verdana" w:cs="Arial"/>
          <w:color w:val="000000" w:themeColor="text1"/>
          <w:lang w:val="es-MX"/>
        </w:rPr>
        <w:t>b</w:t>
      </w:r>
      <w:r w:rsidR="00A061E8" w:rsidRPr="00406FDF">
        <w:rPr>
          <w:rFonts w:ascii="Verdana" w:hAnsi="Verdana" w:cs="Arial"/>
          <w:color w:val="000000" w:themeColor="text1"/>
          <w:lang w:val="es-MX"/>
        </w:rPr>
        <w:t>iométrico para uso de la Dirección d</w:t>
      </w:r>
      <w:r w:rsidR="00A061E8">
        <w:rPr>
          <w:rFonts w:ascii="Verdana" w:hAnsi="Verdana" w:cs="Arial"/>
          <w:color w:val="000000" w:themeColor="text1"/>
          <w:lang w:val="es-MX"/>
        </w:rPr>
        <w:t xml:space="preserve">e Recursos Humanos, </w:t>
      </w:r>
      <w:r w:rsidR="00E6435A">
        <w:rPr>
          <w:rFonts w:ascii="Verdana" w:hAnsi="Verdana" w:cs="Arial"/>
          <w:color w:val="000000" w:themeColor="text1"/>
          <w:lang w:val="es-MX"/>
        </w:rPr>
        <w:t>c</w:t>
      </w:r>
      <w:r w:rsidR="00A061E8">
        <w:rPr>
          <w:rFonts w:ascii="Verdana" w:hAnsi="Verdana" w:cs="Arial"/>
          <w:color w:val="000000" w:themeColor="text1"/>
          <w:lang w:val="es-MX"/>
        </w:rPr>
        <w:t>ompra de 3</w:t>
      </w:r>
      <w:r w:rsidR="00A061E8" w:rsidRPr="00406FDF">
        <w:rPr>
          <w:rFonts w:ascii="Verdana" w:hAnsi="Verdana" w:cs="Arial"/>
          <w:color w:val="000000" w:themeColor="text1"/>
          <w:lang w:val="es-MX"/>
        </w:rPr>
        <w:t xml:space="preserve"> </w:t>
      </w:r>
      <w:r w:rsidR="00E6435A">
        <w:rPr>
          <w:rFonts w:ascii="Verdana" w:hAnsi="Verdana" w:cs="Arial"/>
          <w:color w:val="000000" w:themeColor="text1"/>
          <w:lang w:val="es-MX"/>
        </w:rPr>
        <w:t>d</w:t>
      </w:r>
      <w:r w:rsidR="00A061E8" w:rsidRPr="00406FDF">
        <w:rPr>
          <w:rFonts w:ascii="Verdana" w:hAnsi="Verdana" w:cs="Arial"/>
          <w:color w:val="000000" w:themeColor="text1"/>
          <w:lang w:val="es-MX"/>
        </w:rPr>
        <w:t xml:space="preserve">iscos </w:t>
      </w:r>
      <w:r w:rsidR="00E6435A">
        <w:rPr>
          <w:rFonts w:ascii="Verdana" w:hAnsi="Verdana" w:cs="Arial"/>
          <w:color w:val="000000" w:themeColor="text1"/>
          <w:lang w:val="es-MX"/>
        </w:rPr>
        <w:t>d</w:t>
      </w:r>
      <w:r w:rsidR="00A061E8" w:rsidRPr="00406FDF">
        <w:rPr>
          <w:rFonts w:ascii="Verdana" w:hAnsi="Verdana" w:cs="Arial"/>
          <w:color w:val="000000" w:themeColor="text1"/>
          <w:lang w:val="es-MX"/>
        </w:rPr>
        <w:t>uros que serán utilizados en la Dirección de Aud</w:t>
      </w:r>
      <w:r w:rsidR="00A061E8">
        <w:rPr>
          <w:rFonts w:ascii="Verdana" w:hAnsi="Verdana" w:cs="Arial"/>
          <w:color w:val="000000" w:themeColor="text1"/>
          <w:lang w:val="es-MX"/>
        </w:rPr>
        <w:t>itoria Interna, adquisición de 1</w:t>
      </w:r>
      <w:r w:rsidR="00A061E8" w:rsidRPr="00406FDF">
        <w:rPr>
          <w:rFonts w:ascii="Verdana" w:hAnsi="Verdana" w:cs="Arial"/>
          <w:color w:val="000000" w:themeColor="text1"/>
          <w:lang w:val="es-MX"/>
        </w:rPr>
        <w:t xml:space="preserve">0 sillas ejecutivas para uso del Registro de Garantías Mobiliarias y </w:t>
      </w:r>
      <w:r w:rsidR="00E6435A">
        <w:rPr>
          <w:rFonts w:ascii="Verdana" w:hAnsi="Verdana" w:cs="Arial"/>
          <w:color w:val="000000" w:themeColor="text1"/>
          <w:lang w:val="es-MX"/>
        </w:rPr>
        <w:t>c</w:t>
      </w:r>
      <w:r w:rsidR="00A061E8" w:rsidRPr="00406FDF">
        <w:rPr>
          <w:rFonts w:ascii="Verdana" w:hAnsi="Verdana" w:cs="Arial"/>
          <w:color w:val="000000" w:themeColor="text1"/>
          <w:lang w:val="es-MX"/>
        </w:rPr>
        <w:t xml:space="preserve">ompra de dos computadoras </w:t>
      </w:r>
      <w:r w:rsidR="00A061E8">
        <w:rPr>
          <w:rFonts w:ascii="Verdana" w:hAnsi="Verdana" w:cs="Arial"/>
          <w:color w:val="000000" w:themeColor="text1"/>
          <w:lang w:val="es-MX"/>
        </w:rPr>
        <w:t xml:space="preserve">portátiles para uso del Registro de Mercado de valores </w:t>
      </w:r>
      <w:r w:rsidR="00A061E8" w:rsidRPr="00406FDF">
        <w:rPr>
          <w:rFonts w:ascii="Verdana" w:hAnsi="Verdana" w:cs="Arial"/>
          <w:color w:val="000000" w:themeColor="text1"/>
          <w:lang w:val="es-MX"/>
        </w:rPr>
        <w:t xml:space="preserve">por un monto de </w:t>
      </w:r>
      <w:proofErr w:type="spellStart"/>
      <w:r w:rsidR="00A061E8" w:rsidRPr="00406FDF">
        <w:rPr>
          <w:rFonts w:ascii="Verdana" w:hAnsi="Verdana" w:cs="Arial"/>
          <w:color w:val="000000" w:themeColor="text1"/>
          <w:lang w:val="es-MX"/>
        </w:rPr>
        <w:t>Q</w:t>
      </w:r>
      <w:r w:rsidR="00A061E8">
        <w:rPr>
          <w:rFonts w:ascii="Verdana" w:hAnsi="Verdana" w:cs="Arial"/>
          <w:color w:val="000000" w:themeColor="text1"/>
          <w:lang w:val="es-MX"/>
        </w:rPr>
        <w:t>380</w:t>
      </w:r>
      <w:r w:rsidR="00A061E8" w:rsidRPr="00406FDF">
        <w:rPr>
          <w:rFonts w:ascii="Verdana" w:hAnsi="Verdana" w:cs="Arial"/>
          <w:color w:val="000000" w:themeColor="text1"/>
          <w:lang w:val="es-MX"/>
        </w:rPr>
        <w:t>,</w:t>
      </w:r>
      <w:r w:rsidR="00A061E8">
        <w:rPr>
          <w:rFonts w:ascii="Verdana" w:hAnsi="Verdana" w:cs="Arial"/>
          <w:color w:val="000000" w:themeColor="text1"/>
          <w:lang w:val="es-MX"/>
        </w:rPr>
        <w:t>097</w:t>
      </w:r>
      <w:r w:rsidR="00A061E8" w:rsidRPr="00406FDF">
        <w:rPr>
          <w:rFonts w:ascii="Verdana" w:hAnsi="Verdana" w:cs="Arial"/>
          <w:color w:val="000000" w:themeColor="text1"/>
          <w:lang w:val="es-MX"/>
        </w:rPr>
        <w:t>.</w:t>
      </w:r>
      <w:r w:rsidR="00A061E8">
        <w:rPr>
          <w:rFonts w:ascii="Verdana" w:hAnsi="Verdana" w:cs="Arial"/>
          <w:color w:val="000000" w:themeColor="text1"/>
          <w:lang w:val="es-MX"/>
        </w:rPr>
        <w:t>16</w:t>
      </w:r>
      <w:proofErr w:type="spellEnd"/>
      <w:r w:rsidR="00A061E8" w:rsidRPr="00406FDF">
        <w:rPr>
          <w:rFonts w:ascii="Verdana" w:hAnsi="Verdana" w:cs="Arial"/>
          <w:color w:val="000000" w:themeColor="text1"/>
          <w:lang w:val="es-MX"/>
        </w:rPr>
        <w:t>.</w:t>
      </w:r>
      <w:r w:rsidR="000D7E8F">
        <w:rPr>
          <w:rFonts w:ascii="Verdana" w:hAnsi="Verdana" w:cs="Arial"/>
          <w:color w:val="000000" w:themeColor="text1"/>
          <w:lang w:val="es-MX"/>
        </w:rPr>
        <w:t xml:space="preserve"> </w:t>
      </w:r>
      <w:r w:rsidR="00A061E8" w:rsidRPr="00406FDF">
        <w:rPr>
          <w:rFonts w:ascii="Verdana" w:hAnsi="Verdana" w:cs="Arial"/>
          <w:color w:val="000000" w:themeColor="text1"/>
          <w:lang w:val="es-MX"/>
        </w:rPr>
        <w:t xml:space="preserve"> </w:t>
      </w:r>
      <w:r w:rsidR="00A061E8" w:rsidRPr="00406FDF">
        <w:rPr>
          <w:rFonts w:ascii="Verdana" w:hAnsi="Verdana" w:cs="Arial"/>
          <w:b/>
          <w:color w:val="000000" w:themeColor="text1"/>
          <w:lang w:val="es-MX"/>
        </w:rPr>
        <w:t>e) Grupo 400 Transferencias Corrientes</w:t>
      </w:r>
      <w:r w:rsidR="00A061E8" w:rsidRPr="00406FDF">
        <w:rPr>
          <w:rFonts w:ascii="Verdana" w:hAnsi="Verdana" w:cs="Arial"/>
          <w:color w:val="000000" w:themeColor="text1"/>
          <w:lang w:val="es-MX"/>
        </w:rPr>
        <w:t xml:space="preserve"> el cual está incluido; el pago de entes nacionales e internacionales y pago de benef</w:t>
      </w:r>
      <w:r w:rsidR="00A061E8">
        <w:rPr>
          <w:rFonts w:ascii="Verdana" w:hAnsi="Verdana" w:cs="Arial"/>
          <w:color w:val="000000" w:themeColor="text1"/>
          <w:lang w:val="es-MX"/>
        </w:rPr>
        <w:t xml:space="preserve">icio de gafas por un monto de </w:t>
      </w:r>
      <w:proofErr w:type="spellStart"/>
      <w:r w:rsidR="00A061E8">
        <w:rPr>
          <w:rFonts w:ascii="Verdana" w:hAnsi="Verdana" w:cs="Arial"/>
          <w:color w:val="000000" w:themeColor="text1"/>
          <w:lang w:val="es-MX"/>
        </w:rPr>
        <w:t>Q12</w:t>
      </w:r>
      <w:r w:rsidR="00A061E8" w:rsidRPr="00406FDF">
        <w:rPr>
          <w:rFonts w:ascii="Verdana" w:hAnsi="Verdana" w:cs="Arial"/>
          <w:color w:val="000000" w:themeColor="text1"/>
          <w:lang w:val="es-MX"/>
        </w:rPr>
        <w:t>,</w:t>
      </w:r>
      <w:r w:rsidR="00A061E8">
        <w:rPr>
          <w:rFonts w:ascii="Verdana" w:hAnsi="Verdana" w:cs="Arial"/>
          <w:color w:val="000000" w:themeColor="text1"/>
          <w:lang w:val="es-MX"/>
        </w:rPr>
        <w:t>632,731</w:t>
      </w:r>
      <w:r w:rsidR="00A061E8" w:rsidRPr="00406FDF">
        <w:rPr>
          <w:rFonts w:ascii="Verdana" w:hAnsi="Verdana" w:cs="Arial"/>
          <w:color w:val="000000" w:themeColor="text1"/>
          <w:lang w:val="es-MX"/>
        </w:rPr>
        <w:t>.</w:t>
      </w:r>
      <w:r w:rsidR="00A061E8">
        <w:rPr>
          <w:rFonts w:ascii="Verdana" w:hAnsi="Verdana" w:cs="Arial"/>
          <w:color w:val="000000" w:themeColor="text1"/>
          <w:lang w:val="es-MX"/>
        </w:rPr>
        <w:t>30</w:t>
      </w:r>
      <w:proofErr w:type="spellEnd"/>
      <w:r w:rsidR="00A061E8" w:rsidRPr="00406FDF">
        <w:rPr>
          <w:rFonts w:ascii="Verdana" w:hAnsi="Verdana" w:cs="Arial"/>
          <w:color w:val="000000" w:themeColor="text1"/>
          <w:lang w:val="es-MX"/>
        </w:rPr>
        <w:t>.</w:t>
      </w:r>
      <w:r w:rsidR="00A061E8">
        <w:rPr>
          <w:rFonts w:ascii="Verdana" w:hAnsi="Verdana" w:cs="Arial"/>
          <w:color w:val="000000" w:themeColor="text1"/>
          <w:lang w:val="es-MX"/>
        </w:rPr>
        <w:t xml:space="preserve">, </w:t>
      </w:r>
      <w:r w:rsidR="00A061E8">
        <w:rPr>
          <w:rFonts w:ascii="Verdana" w:hAnsi="Verdana" w:cs="Arial"/>
          <w:b/>
          <w:color w:val="000000" w:themeColor="text1"/>
          <w:lang w:val="es-MX"/>
        </w:rPr>
        <w:t>e) Grupo 500</w:t>
      </w:r>
      <w:r w:rsidR="00A061E8" w:rsidRPr="00406FDF">
        <w:rPr>
          <w:rFonts w:ascii="Verdana" w:hAnsi="Verdana" w:cs="Arial"/>
          <w:b/>
          <w:color w:val="000000" w:themeColor="text1"/>
          <w:lang w:val="es-MX"/>
        </w:rPr>
        <w:t xml:space="preserve"> </w:t>
      </w:r>
      <w:r w:rsidR="00A061E8">
        <w:rPr>
          <w:rFonts w:ascii="Verdana" w:hAnsi="Verdana" w:cs="Arial"/>
          <w:b/>
          <w:color w:val="000000" w:themeColor="text1"/>
          <w:lang w:val="es-MX"/>
        </w:rPr>
        <w:t>Transferencias de Capital</w:t>
      </w:r>
      <w:r w:rsidR="00A061E8" w:rsidRPr="00406FDF">
        <w:rPr>
          <w:rFonts w:ascii="Verdana" w:hAnsi="Verdana" w:cs="Arial"/>
          <w:color w:val="000000" w:themeColor="text1"/>
          <w:lang w:val="es-MX"/>
        </w:rPr>
        <w:t xml:space="preserve"> el cual está incluido; el pago de </w:t>
      </w:r>
      <w:r w:rsidR="00A061E8">
        <w:rPr>
          <w:rFonts w:ascii="Verdana" w:hAnsi="Verdana" w:cs="Arial"/>
          <w:color w:val="000000" w:themeColor="text1"/>
          <w:lang w:val="es-MX"/>
        </w:rPr>
        <w:t xml:space="preserve">inversión de </w:t>
      </w:r>
      <w:r w:rsidR="00A061E8" w:rsidRPr="00406FDF">
        <w:rPr>
          <w:rFonts w:ascii="Verdana" w:hAnsi="Verdana" w:cs="Arial"/>
          <w:color w:val="000000" w:themeColor="text1"/>
          <w:lang w:val="es-MX"/>
        </w:rPr>
        <w:t xml:space="preserve">entes nacionales </w:t>
      </w:r>
      <w:r w:rsidR="00A061E8">
        <w:rPr>
          <w:rFonts w:ascii="Verdana" w:hAnsi="Verdana" w:cs="Arial"/>
          <w:color w:val="000000" w:themeColor="text1"/>
          <w:lang w:val="es-MX"/>
        </w:rPr>
        <w:t xml:space="preserve">por un monto de </w:t>
      </w:r>
      <w:proofErr w:type="spellStart"/>
      <w:r w:rsidR="00A061E8">
        <w:rPr>
          <w:rFonts w:ascii="Verdana" w:hAnsi="Verdana" w:cs="Arial"/>
          <w:color w:val="000000" w:themeColor="text1"/>
          <w:lang w:val="es-MX"/>
        </w:rPr>
        <w:t>Q3,515</w:t>
      </w:r>
      <w:r w:rsidR="00A061E8" w:rsidRPr="00406FDF">
        <w:rPr>
          <w:rFonts w:ascii="Verdana" w:hAnsi="Verdana" w:cs="Arial"/>
          <w:color w:val="000000" w:themeColor="text1"/>
          <w:lang w:val="es-MX"/>
        </w:rPr>
        <w:t>,</w:t>
      </w:r>
      <w:r w:rsidR="00A061E8">
        <w:rPr>
          <w:rFonts w:ascii="Verdana" w:hAnsi="Verdana" w:cs="Arial"/>
          <w:color w:val="000000" w:themeColor="text1"/>
          <w:lang w:val="es-MX"/>
        </w:rPr>
        <w:t>000</w:t>
      </w:r>
      <w:r w:rsidR="00A061E8" w:rsidRPr="00406FDF">
        <w:rPr>
          <w:rFonts w:ascii="Verdana" w:hAnsi="Verdana" w:cs="Arial"/>
          <w:color w:val="000000" w:themeColor="text1"/>
          <w:lang w:val="es-MX"/>
        </w:rPr>
        <w:t>.</w:t>
      </w:r>
      <w:r w:rsidR="00A061E8">
        <w:rPr>
          <w:rFonts w:ascii="Verdana" w:hAnsi="Verdana" w:cs="Arial"/>
          <w:color w:val="000000" w:themeColor="text1"/>
          <w:lang w:val="es-MX"/>
        </w:rPr>
        <w:t>00</w:t>
      </w:r>
      <w:proofErr w:type="spellEnd"/>
      <w:r w:rsidR="00A061E8" w:rsidRPr="00406FDF">
        <w:rPr>
          <w:rFonts w:ascii="Verdana" w:hAnsi="Verdana" w:cs="Arial"/>
          <w:color w:val="000000" w:themeColor="text1"/>
          <w:lang w:val="es-MX"/>
        </w:rPr>
        <w:t>.</w:t>
      </w:r>
    </w:p>
    <w:p w14:paraId="5B19D370" w14:textId="77777777" w:rsidR="00A061E8" w:rsidRPr="00406FDF" w:rsidRDefault="00A061E8" w:rsidP="00A061E8">
      <w:pPr>
        <w:jc w:val="both"/>
        <w:rPr>
          <w:rFonts w:ascii="Verdana" w:hAnsi="Verdana" w:cs="Arial"/>
          <w:color w:val="000000" w:themeColor="text1"/>
          <w:lang w:val="es-MX"/>
        </w:rPr>
      </w:pPr>
    </w:p>
    <w:p w14:paraId="620F79EB" w14:textId="1200D415" w:rsidR="00A061E8" w:rsidRPr="00406FDF" w:rsidRDefault="00A061E8" w:rsidP="00A061E8">
      <w:pPr>
        <w:jc w:val="both"/>
        <w:rPr>
          <w:rFonts w:ascii="Verdana" w:hAnsi="Verdana" w:cs="Arial"/>
          <w:color w:val="000000" w:themeColor="text1"/>
          <w:lang w:val="es-MX"/>
        </w:rPr>
      </w:pPr>
      <w:r w:rsidRPr="00406FDF">
        <w:rPr>
          <w:rFonts w:ascii="Verdana" w:hAnsi="Verdana" w:cs="Arial"/>
          <w:color w:val="000000" w:themeColor="text1"/>
          <w:lang w:val="es-MX"/>
        </w:rPr>
        <w:t>La cuota no fue aprobada en su totalidad, quedando sin completar las transferenci</w:t>
      </w:r>
      <w:r w:rsidR="007E6E5E">
        <w:rPr>
          <w:rFonts w:ascii="Verdana" w:hAnsi="Verdana" w:cs="Arial"/>
          <w:color w:val="000000" w:themeColor="text1"/>
          <w:lang w:val="es-MX"/>
        </w:rPr>
        <w:t>as a</w:t>
      </w:r>
      <w:r w:rsidRPr="00406FDF">
        <w:rPr>
          <w:rFonts w:ascii="Verdana" w:hAnsi="Verdana" w:cs="Arial"/>
          <w:color w:val="000000" w:themeColor="text1"/>
          <w:lang w:val="es-MX"/>
        </w:rPr>
        <w:t xml:space="preserve">l Ente Receptor Instituto Nacional de Estadística (INE) </w:t>
      </w:r>
      <w:r w:rsidR="0079660F">
        <w:rPr>
          <w:rFonts w:ascii="Verdana" w:hAnsi="Verdana" w:cs="Arial"/>
          <w:color w:val="000000" w:themeColor="text1"/>
          <w:lang w:val="es-MX"/>
        </w:rPr>
        <w:t xml:space="preserve">por la cantidad de </w:t>
      </w:r>
      <w:proofErr w:type="spellStart"/>
      <w:r w:rsidR="0079660F">
        <w:rPr>
          <w:rFonts w:ascii="Verdana" w:hAnsi="Verdana" w:cs="Arial"/>
          <w:color w:val="000000" w:themeColor="text1"/>
          <w:lang w:val="es-MX"/>
        </w:rPr>
        <w:t>Q2,450,000.00</w:t>
      </w:r>
      <w:proofErr w:type="spellEnd"/>
      <w:r w:rsidR="0079660F">
        <w:rPr>
          <w:rFonts w:ascii="Verdana" w:hAnsi="Verdana" w:cs="Arial"/>
          <w:color w:val="000000" w:themeColor="text1"/>
          <w:lang w:val="es-MX"/>
        </w:rPr>
        <w:t>.</w:t>
      </w:r>
    </w:p>
    <w:p w14:paraId="06C50EC1" w14:textId="77777777" w:rsidR="00A061E8" w:rsidRPr="00406FDF" w:rsidRDefault="00A061E8" w:rsidP="00A061E8">
      <w:pPr>
        <w:jc w:val="both"/>
        <w:rPr>
          <w:rFonts w:ascii="Verdana" w:hAnsi="Verdana" w:cs="Arial"/>
          <w:color w:val="000000" w:themeColor="text1"/>
          <w:lang w:val="es-MX"/>
        </w:rPr>
      </w:pPr>
    </w:p>
    <w:p w14:paraId="21BCFAF2" w14:textId="77777777" w:rsidR="008B1AA2" w:rsidRDefault="00A061E8" w:rsidP="00A061E8">
      <w:pPr>
        <w:jc w:val="both"/>
        <w:rPr>
          <w:rFonts w:ascii="Verdana" w:hAnsi="Verdana" w:cs="Arial"/>
          <w:color w:val="000000" w:themeColor="text1"/>
          <w:lang w:val="es-MX"/>
        </w:rPr>
      </w:pPr>
      <w:r w:rsidRPr="00406FDF">
        <w:rPr>
          <w:rFonts w:ascii="Verdana" w:hAnsi="Verdana" w:cs="Arial"/>
          <w:color w:val="000000" w:themeColor="text1"/>
          <w:lang w:val="es-MX"/>
        </w:rPr>
        <w:t xml:space="preserve">De la cuota aprobada se dejó de ejecutar lo siguiente: </w:t>
      </w:r>
      <w:r w:rsidRPr="003815A1">
        <w:rPr>
          <w:rFonts w:ascii="Verdana" w:hAnsi="Verdana" w:cs="Arial"/>
          <w:b/>
          <w:color w:val="000000" w:themeColor="text1"/>
          <w:lang w:val="es-MX"/>
        </w:rPr>
        <w:t>en el grupo de gasto 100</w:t>
      </w:r>
      <w:r w:rsidRPr="00406FDF">
        <w:rPr>
          <w:rFonts w:ascii="Verdana" w:hAnsi="Verdana" w:cs="Arial"/>
          <w:color w:val="000000" w:themeColor="text1"/>
          <w:lang w:val="es-MX"/>
        </w:rPr>
        <w:t xml:space="preserve"> derivado que </w:t>
      </w:r>
      <w:r>
        <w:rPr>
          <w:rFonts w:ascii="Verdana" w:hAnsi="Verdana" w:cs="Arial"/>
          <w:color w:val="000000" w:themeColor="text1"/>
          <w:lang w:val="es-MX"/>
        </w:rPr>
        <w:t>no se completó el expediente del pago de las fotocopiadoras RICO el cual era un expediente de cotización por lo cual se tuvo que ejecutar la cuota con otros expedientes lo cuales no estaban contemplados en el mes de noviembre</w:t>
      </w:r>
      <w:r w:rsidR="00B83C5A">
        <w:rPr>
          <w:rFonts w:ascii="Verdana" w:hAnsi="Verdana" w:cs="Arial"/>
          <w:color w:val="000000" w:themeColor="text1"/>
          <w:lang w:val="es-MX"/>
        </w:rPr>
        <w:t>.</w:t>
      </w:r>
      <w:r>
        <w:rPr>
          <w:rFonts w:ascii="Verdana" w:hAnsi="Verdana" w:cs="Arial"/>
          <w:color w:val="000000" w:themeColor="text1"/>
          <w:lang w:val="es-MX"/>
        </w:rPr>
        <w:t xml:space="preserve"> </w:t>
      </w:r>
      <w:r w:rsidRPr="003815A1">
        <w:rPr>
          <w:rFonts w:ascii="Verdana" w:hAnsi="Verdana" w:cs="Arial"/>
          <w:b/>
          <w:color w:val="000000" w:themeColor="text1"/>
          <w:lang w:val="es-MX"/>
        </w:rPr>
        <w:t>En el grupo de gasto 200</w:t>
      </w:r>
      <w:r w:rsidRPr="00406FDF">
        <w:rPr>
          <w:rFonts w:ascii="Verdana" w:hAnsi="Verdana" w:cs="Arial"/>
          <w:color w:val="000000" w:themeColor="text1"/>
          <w:lang w:val="es-MX"/>
        </w:rPr>
        <w:t xml:space="preserve">, Derivado que no se contaba con las facturas de algunos expedientes no se puedo ejecutar el </w:t>
      </w:r>
      <w:r w:rsidR="00A22EFC">
        <w:rPr>
          <w:rFonts w:ascii="Verdana" w:hAnsi="Verdana" w:cs="Arial"/>
          <w:color w:val="000000" w:themeColor="text1"/>
          <w:lang w:val="es-MX"/>
        </w:rPr>
        <w:t>100%</w:t>
      </w:r>
      <w:r w:rsidRPr="00406FDF">
        <w:rPr>
          <w:rFonts w:ascii="Verdana" w:hAnsi="Verdana" w:cs="Arial"/>
          <w:color w:val="000000" w:themeColor="text1"/>
          <w:lang w:val="es-MX"/>
        </w:rPr>
        <w:t xml:space="preserve"> de l</w:t>
      </w:r>
      <w:r w:rsidR="002F64C6">
        <w:rPr>
          <w:rFonts w:ascii="Verdana" w:hAnsi="Verdana" w:cs="Arial"/>
          <w:color w:val="000000" w:themeColor="text1"/>
          <w:lang w:val="es-MX"/>
        </w:rPr>
        <w:t>o</w:t>
      </w:r>
      <w:r w:rsidRPr="00406FDF">
        <w:rPr>
          <w:rFonts w:ascii="Verdana" w:hAnsi="Verdana" w:cs="Arial"/>
          <w:color w:val="000000" w:themeColor="text1"/>
          <w:lang w:val="es-MX"/>
        </w:rPr>
        <w:t>s expedientes</w:t>
      </w:r>
      <w:r w:rsidR="00A22EFC">
        <w:rPr>
          <w:rFonts w:ascii="Verdana" w:hAnsi="Verdana" w:cs="Arial"/>
          <w:color w:val="000000" w:themeColor="text1"/>
          <w:lang w:val="es-MX"/>
        </w:rPr>
        <w:t>.</w:t>
      </w:r>
      <w:r w:rsidR="002F64C6">
        <w:rPr>
          <w:rFonts w:ascii="Verdana" w:hAnsi="Verdana" w:cs="Arial"/>
          <w:color w:val="000000" w:themeColor="text1"/>
          <w:lang w:val="es-MX"/>
        </w:rPr>
        <w:t xml:space="preserve"> </w:t>
      </w:r>
      <w:r w:rsidRPr="00406FDF">
        <w:rPr>
          <w:rFonts w:ascii="Verdana" w:hAnsi="Verdana" w:cs="Arial"/>
          <w:color w:val="000000" w:themeColor="text1"/>
          <w:lang w:val="es-MX"/>
        </w:rPr>
        <w:t xml:space="preserve"> </w:t>
      </w:r>
      <w:r w:rsidRPr="003815A1">
        <w:rPr>
          <w:rFonts w:ascii="Verdana" w:hAnsi="Verdana" w:cs="Arial"/>
          <w:b/>
          <w:color w:val="000000" w:themeColor="text1"/>
          <w:lang w:val="es-MX"/>
        </w:rPr>
        <w:t xml:space="preserve">En el grupo de gasto 300, </w:t>
      </w:r>
      <w:r w:rsidRPr="00406FDF">
        <w:rPr>
          <w:rFonts w:ascii="Verdana" w:hAnsi="Verdana" w:cs="Arial"/>
          <w:color w:val="000000" w:themeColor="text1"/>
          <w:lang w:val="es-MX"/>
        </w:rPr>
        <w:t xml:space="preserve">derivado que no se </w:t>
      </w:r>
      <w:r>
        <w:rPr>
          <w:rFonts w:ascii="Verdana" w:hAnsi="Verdana" w:cs="Arial"/>
          <w:color w:val="000000" w:themeColor="text1"/>
          <w:lang w:val="es-MX"/>
        </w:rPr>
        <w:t>contaba con expedientes armados para poder ser ejecutados en el mes de noviembre.</w:t>
      </w:r>
      <w:r w:rsidR="002F64C6">
        <w:rPr>
          <w:rFonts w:ascii="Verdana" w:hAnsi="Verdana" w:cs="Arial"/>
          <w:color w:val="000000" w:themeColor="text1"/>
          <w:lang w:val="es-MX"/>
        </w:rPr>
        <w:t xml:space="preserve"> </w:t>
      </w:r>
      <w:r>
        <w:rPr>
          <w:rFonts w:ascii="Verdana" w:hAnsi="Verdana" w:cs="Arial"/>
          <w:color w:val="000000" w:themeColor="text1"/>
          <w:lang w:val="es-MX"/>
        </w:rPr>
        <w:t xml:space="preserve"> </w:t>
      </w:r>
      <w:r w:rsidRPr="003815A1">
        <w:rPr>
          <w:rFonts w:ascii="Verdana" w:hAnsi="Verdana" w:cs="Arial"/>
          <w:b/>
          <w:color w:val="000000" w:themeColor="text1"/>
          <w:lang w:val="es-MX"/>
        </w:rPr>
        <w:t>En el grupo de gasto 400</w:t>
      </w:r>
      <w:r w:rsidR="002F64C6">
        <w:rPr>
          <w:rFonts w:ascii="Verdana" w:hAnsi="Verdana" w:cs="Arial"/>
          <w:color w:val="000000" w:themeColor="text1"/>
          <w:lang w:val="es-MX"/>
        </w:rPr>
        <w:t>, d</w:t>
      </w:r>
      <w:r>
        <w:rPr>
          <w:rFonts w:ascii="Verdana" w:hAnsi="Verdana" w:cs="Arial"/>
          <w:color w:val="000000" w:themeColor="text1"/>
          <w:lang w:val="es-MX"/>
        </w:rPr>
        <w:t xml:space="preserve">erivado que el expediente de indemnización de Byron Alvares no se trasladó ya que no contaba con </w:t>
      </w:r>
      <w:r w:rsidR="002F64C6">
        <w:rPr>
          <w:rFonts w:ascii="Verdana" w:hAnsi="Verdana" w:cs="Arial"/>
          <w:color w:val="000000" w:themeColor="text1"/>
          <w:lang w:val="es-MX"/>
        </w:rPr>
        <w:t>el</w:t>
      </w:r>
      <w:r>
        <w:rPr>
          <w:rFonts w:ascii="Verdana" w:hAnsi="Verdana" w:cs="Arial"/>
          <w:color w:val="000000" w:themeColor="text1"/>
          <w:lang w:val="es-MX"/>
        </w:rPr>
        <w:t xml:space="preserve"> finiquito del Ministerio de Economía</w:t>
      </w:r>
      <w:r w:rsidR="008B1AA2">
        <w:rPr>
          <w:rFonts w:ascii="Verdana" w:hAnsi="Verdana" w:cs="Arial"/>
          <w:color w:val="000000" w:themeColor="text1"/>
          <w:lang w:val="es-MX"/>
        </w:rPr>
        <w:t>.</w:t>
      </w:r>
    </w:p>
    <w:p w14:paraId="54202F74" w14:textId="69F3DE4B" w:rsidR="00F029AA" w:rsidRDefault="00A061E8" w:rsidP="00A061E8">
      <w:pPr>
        <w:jc w:val="both"/>
        <w:rPr>
          <w:rFonts w:ascii="Verdana" w:hAnsi="Verdana" w:cs="Arial"/>
          <w:color w:val="000000" w:themeColor="text1"/>
          <w:lang w:val="es-MX"/>
        </w:rPr>
      </w:pPr>
      <w:r w:rsidRPr="003815A1">
        <w:rPr>
          <w:rFonts w:ascii="Verdana" w:hAnsi="Verdana" w:cs="Arial"/>
          <w:b/>
          <w:color w:val="000000" w:themeColor="text1"/>
          <w:lang w:val="es-MX"/>
        </w:rPr>
        <w:lastRenderedPageBreak/>
        <w:t>En el Grupo de gasto 900</w:t>
      </w:r>
      <w:r>
        <w:rPr>
          <w:rFonts w:ascii="Verdana" w:hAnsi="Verdana" w:cs="Arial"/>
          <w:color w:val="000000" w:themeColor="text1"/>
          <w:lang w:val="es-MX"/>
        </w:rPr>
        <w:t xml:space="preserve"> no se pudo ejecutar la sentencia derivado que el sistema presento inconvenientes al momento de gestionar la liquidación del mismo.</w:t>
      </w:r>
    </w:p>
    <w:p w14:paraId="34BABD41" w14:textId="77777777" w:rsidR="002F64C6" w:rsidRDefault="002F64C6" w:rsidP="00A061E8">
      <w:pPr>
        <w:jc w:val="both"/>
        <w:rPr>
          <w:rFonts w:ascii="Verdana" w:hAnsi="Verdana"/>
        </w:rPr>
      </w:pPr>
    </w:p>
    <w:sectPr w:rsidR="002F64C6" w:rsidSect="0093677B">
      <w:headerReference w:type="even" r:id="rId15"/>
      <w:headerReference w:type="default" r:id="rId16"/>
      <w:footerReference w:type="even" r:id="rId17"/>
      <w:footerReference w:type="default" r:id="rId18"/>
      <w:headerReference w:type="first" r:id="rId19"/>
      <w:footerReference w:type="first" r:id="rId20"/>
      <w:pgSz w:w="12240" w:h="15840"/>
      <w:pgMar w:top="249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A1B44" w14:textId="77777777" w:rsidR="007477CC" w:rsidRDefault="007477CC" w:rsidP="00950217">
      <w:r>
        <w:separator/>
      </w:r>
    </w:p>
  </w:endnote>
  <w:endnote w:type="continuationSeparator" w:id="0">
    <w:p w14:paraId="729D50A2" w14:textId="77777777" w:rsidR="007477CC" w:rsidRDefault="007477CC"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D0D3" w14:textId="77777777" w:rsidR="00ED2FA1" w:rsidRDefault="00ED2F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1189" w14:textId="0B1D01B9" w:rsidR="00ED2FA1" w:rsidRDefault="00ED2FA1">
    <w:pPr>
      <w:pStyle w:val="Piedepgina"/>
    </w:pPr>
    <w:r>
      <w:rPr>
        <w:noProof/>
        <w:lang w:eastAsia="es-GT"/>
      </w:rPr>
      <w:drawing>
        <wp:anchor distT="0" distB="0" distL="114300" distR="114300" simplePos="0" relativeHeight="251659264" behindDoc="1" locked="0" layoutInCell="1" allowOverlap="1" wp14:anchorId="72D7BFB7" wp14:editId="023759CF">
          <wp:simplePos x="0" y="0"/>
          <wp:positionH relativeFrom="margin">
            <wp:align>center</wp:align>
          </wp:positionH>
          <wp:positionV relativeFrom="paragraph">
            <wp:posOffset>-278765</wp:posOffset>
          </wp:positionV>
          <wp:extent cx="7981772" cy="925989"/>
          <wp:effectExtent l="0" t="0" r="635" b="7620"/>
          <wp:wrapNone/>
          <wp:docPr id="6195608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5D6A" w14:textId="77777777" w:rsidR="00ED2FA1" w:rsidRDefault="00ED2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8D58" w14:textId="77777777" w:rsidR="007477CC" w:rsidRDefault="007477CC" w:rsidP="00950217">
      <w:r>
        <w:separator/>
      </w:r>
    </w:p>
  </w:footnote>
  <w:footnote w:type="continuationSeparator" w:id="0">
    <w:p w14:paraId="3A15692F" w14:textId="77777777" w:rsidR="007477CC" w:rsidRDefault="007477CC"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A389" w14:textId="77777777" w:rsidR="00ED2FA1" w:rsidRDefault="00ED2F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99DC" w14:textId="636D1C2E" w:rsidR="00ED2FA1" w:rsidRDefault="00ED2FA1">
    <w:pPr>
      <w:pStyle w:val="Encabezado"/>
    </w:pPr>
    <w:r>
      <w:rPr>
        <w:noProof/>
        <w:lang w:eastAsia="es-GT"/>
      </w:rPr>
      <w:drawing>
        <wp:anchor distT="0" distB="0" distL="114300" distR="114300" simplePos="0" relativeHeight="251656192" behindDoc="1" locked="0" layoutInCell="1" allowOverlap="1" wp14:anchorId="6BDEEEAB" wp14:editId="7D06F49F">
          <wp:simplePos x="0" y="0"/>
          <wp:positionH relativeFrom="page">
            <wp:align>left</wp:align>
          </wp:positionH>
          <wp:positionV relativeFrom="paragraph">
            <wp:posOffset>-192405</wp:posOffset>
          </wp:positionV>
          <wp:extent cx="7753350" cy="1283452"/>
          <wp:effectExtent l="0" t="0" r="0" b="0"/>
          <wp:wrapNone/>
          <wp:docPr id="92263232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3350" cy="12834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5825" w14:textId="77777777" w:rsidR="00ED2FA1" w:rsidRDefault="00ED2F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17"/>
    <w:rsid w:val="000020CC"/>
    <w:rsid w:val="00010694"/>
    <w:rsid w:val="000148AE"/>
    <w:rsid w:val="00015DA6"/>
    <w:rsid w:val="000273AB"/>
    <w:rsid w:val="00037CDE"/>
    <w:rsid w:val="00047F40"/>
    <w:rsid w:val="0005554C"/>
    <w:rsid w:val="00061172"/>
    <w:rsid w:val="00062442"/>
    <w:rsid w:val="00065455"/>
    <w:rsid w:val="00067FD4"/>
    <w:rsid w:val="000710D3"/>
    <w:rsid w:val="0007373E"/>
    <w:rsid w:val="0008228E"/>
    <w:rsid w:val="00087890"/>
    <w:rsid w:val="00095311"/>
    <w:rsid w:val="00097E8B"/>
    <w:rsid w:val="000B0CE0"/>
    <w:rsid w:val="000B1448"/>
    <w:rsid w:val="000B7D51"/>
    <w:rsid w:val="000C17B4"/>
    <w:rsid w:val="000D48F8"/>
    <w:rsid w:val="000D76D9"/>
    <w:rsid w:val="000D7E8F"/>
    <w:rsid w:val="000E608E"/>
    <w:rsid w:val="000F59D6"/>
    <w:rsid w:val="000F5F60"/>
    <w:rsid w:val="0010018F"/>
    <w:rsid w:val="001003CC"/>
    <w:rsid w:val="0010703C"/>
    <w:rsid w:val="00110978"/>
    <w:rsid w:val="00112E2B"/>
    <w:rsid w:val="00114AE5"/>
    <w:rsid w:val="00126335"/>
    <w:rsid w:val="00132BE5"/>
    <w:rsid w:val="0013463A"/>
    <w:rsid w:val="001448D3"/>
    <w:rsid w:val="00146B17"/>
    <w:rsid w:val="001646CA"/>
    <w:rsid w:val="001668E6"/>
    <w:rsid w:val="001668F5"/>
    <w:rsid w:val="00183A5B"/>
    <w:rsid w:val="001859DA"/>
    <w:rsid w:val="001B41B9"/>
    <w:rsid w:val="001B7BDA"/>
    <w:rsid w:val="001C5C06"/>
    <w:rsid w:val="001C6388"/>
    <w:rsid w:val="001D392D"/>
    <w:rsid w:val="001F3B22"/>
    <w:rsid w:val="002037A6"/>
    <w:rsid w:val="00210460"/>
    <w:rsid w:val="00217599"/>
    <w:rsid w:val="002234DC"/>
    <w:rsid w:val="00232AE0"/>
    <w:rsid w:val="00233659"/>
    <w:rsid w:val="0023402E"/>
    <w:rsid w:val="00241FB3"/>
    <w:rsid w:val="0024743F"/>
    <w:rsid w:val="002669D7"/>
    <w:rsid w:val="00283696"/>
    <w:rsid w:val="002837DC"/>
    <w:rsid w:val="00283BA1"/>
    <w:rsid w:val="0029077D"/>
    <w:rsid w:val="002B1412"/>
    <w:rsid w:val="002B156A"/>
    <w:rsid w:val="002B5C75"/>
    <w:rsid w:val="002B76B4"/>
    <w:rsid w:val="002C2478"/>
    <w:rsid w:val="002C7F50"/>
    <w:rsid w:val="002D258E"/>
    <w:rsid w:val="002D5CD2"/>
    <w:rsid w:val="002E4F60"/>
    <w:rsid w:val="002F45DC"/>
    <w:rsid w:val="002F501D"/>
    <w:rsid w:val="002F5466"/>
    <w:rsid w:val="002F64C6"/>
    <w:rsid w:val="00307116"/>
    <w:rsid w:val="003076C0"/>
    <w:rsid w:val="0031329C"/>
    <w:rsid w:val="00313E5F"/>
    <w:rsid w:val="00314A9F"/>
    <w:rsid w:val="00323D37"/>
    <w:rsid w:val="00330FD9"/>
    <w:rsid w:val="003417FD"/>
    <w:rsid w:val="00350BAB"/>
    <w:rsid w:val="00356841"/>
    <w:rsid w:val="00362F46"/>
    <w:rsid w:val="00377D36"/>
    <w:rsid w:val="003A2CD5"/>
    <w:rsid w:val="003B0020"/>
    <w:rsid w:val="003C1F7F"/>
    <w:rsid w:val="003C58C1"/>
    <w:rsid w:val="003D10AA"/>
    <w:rsid w:val="003D5C42"/>
    <w:rsid w:val="003E373F"/>
    <w:rsid w:val="003E790A"/>
    <w:rsid w:val="003F1EAF"/>
    <w:rsid w:val="003F5F1F"/>
    <w:rsid w:val="0040186E"/>
    <w:rsid w:val="00422B7B"/>
    <w:rsid w:val="0042301A"/>
    <w:rsid w:val="0043486B"/>
    <w:rsid w:val="00451D63"/>
    <w:rsid w:val="004601D8"/>
    <w:rsid w:val="0046250B"/>
    <w:rsid w:val="00462533"/>
    <w:rsid w:val="0046680B"/>
    <w:rsid w:val="00472A92"/>
    <w:rsid w:val="00484488"/>
    <w:rsid w:val="00484CC9"/>
    <w:rsid w:val="00497145"/>
    <w:rsid w:val="004A0D31"/>
    <w:rsid w:val="004A3293"/>
    <w:rsid w:val="004B2FB4"/>
    <w:rsid w:val="004B5E67"/>
    <w:rsid w:val="004C21EE"/>
    <w:rsid w:val="004D1059"/>
    <w:rsid w:val="004D6840"/>
    <w:rsid w:val="004E54A2"/>
    <w:rsid w:val="00501079"/>
    <w:rsid w:val="005049A0"/>
    <w:rsid w:val="00504FB7"/>
    <w:rsid w:val="00507D19"/>
    <w:rsid w:val="00515E7B"/>
    <w:rsid w:val="00517C7A"/>
    <w:rsid w:val="00526046"/>
    <w:rsid w:val="0052730E"/>
    <w:rsid w:val="00532976"/>
    <w:rsid w:val="00534D5B"/>
    <w:rsid w:val="005423E5"/>
    <w:rsid w:val="00566475"/>
    <w:rsid w:val="00571197"/>
    <w:rsid w:val="00574E6E"/>
    <w:rsid w:val="005755DA"/>
    <w:rsid w:val="005824F2"/>
    <w:rsid w:val="0059380D"/>
    <w:rsid w:val="005A1A74"/>
    <w:rsid w:val="005A3F85"/>
    <w:rsid w:val="005C4EEB"/>
    <w:rsid w:val="005D0394"/>
    <w:rsid w:val="005D6DD8"/>
    <w:rsid w:val="005E2B20"/>
    <w:rsid w:val="005E467A"/>
    <w:rsid w:val="005F3103"/>
    <w:rsid w:val="00600969"/>
    <w:rsid w:val="006014DF"/>
    <w:rsid w:val="006037BF"/>
    <w:rsid w:val="0061587F"/>
    <w:rsid w:val="00620770"/>
    <w:rsid w:val="00622014"/>
    <w:rsid w:val="00624851"/>
    <w:rsid w:val="00625B83"/>
    <w:rsid w:val="00626CE2"/>
    <w:rsid w:val="0062737C"/>
    <w:rsid w:val="00633075"/>
    <w:rsid w:val="0063380F"/>
    <w:rsid w:val="00640352"/>
    <w:rsid w:val="00642DC0"/>
    <w:rsid w:val="00685786"/>
    <w:rsid w:val="00690B3B"/>
    <w:rsid w:val="006B6611"/>
    <w:rsid w:val="006C630D"/>
    <w:rsid w:val="006E1C78"/>
    <w:rsid w:val="006E32FB"/>
    <w:rsid w:val="006F3B75"/>
    <w:rsid w:val="0073398D"/>
    <w:rsid w:val="00733A93"/>
    <w:rsid w:val="0074651F"/>
    <w:rsid w:val="007477CC"/>
    <w:rsid w:val="00764FE1"/>
    <w:rsid w:val="00772F51"/>
    <w:rsid w:val="00776864"/>
    <w:rsid w:val="00777707"/>
    <w:rsid w:val="00780501"/>
    <w:rsid w:val="00781A9D"/>
    <w:rsid w:val="00783480"/>
    <w:rsid w:val="00791F0A"/>
    <w:rsid w:val="0079660F"/>
    <w:rsid w:val="007A7A4D"/>
    <w:rsid w:val="007B7DC9"/>
    <w:rsid w:val="007C3871"/>
    <w:rsid w:val="007C55F7"/>
    <w:rsid w:val="007E4D4B"/>
    <w:rsid w:val="007E6E5E"/>
    <w:rsid w:val="007E7728"/>
    <w:rsid w:val="007F0D20"/>
    <w:rsid w:val="00810684"/>
    <w:rsid w:val="008147DB"/>
    <w:rsid w:val="008258CE"/>
    <w:rsid w:val="00826473"/>
    <w:rsid w:val="00826CC5"/>
    <w:rsid w:val="00835ABF"/>
    <w:rsid w:val="008378F4"/>
    <w:rsid w:val="0084765B"/>
    <w:rsid w:val="008501CE"/>
    <w:rsid w:val="00850EAE"/>
    <w:rsid w:val="00855705"/>
    <w:rsid w:val="00856120"/>
    <w:rsid w:val="00860798"/>
    <w:rsid w:val="0086098A"/>
    <w:rsid w:val="008615B4"/>
    <w:rsid w:val="00864FA0"/>
    <w:rsid w:val="00870270"/>
    <w:rsid w:val="008719D3"/>
    <w:rsid w:val="00884387"/>
    <w:rsid w:val="00891D77"/>
    <w:rsid w:val="008971C2"/>
    <w:rsid w:val="008973EC"/>
    <w:rsid w:val="008B1AA2"/>
    <w:rsid w:val="008B23D2"/>
    <w:rsid w:val="008B4105"/>
    <w:rsid w:val="008C5C54"/>
    <w:rsid w:val="008C6E73"/>
    <w:rsid w:val="008D0C6F"/>
    <w:rsid w:val="008E0A81"/>
    <w:rsid w:val="008E0F27"/>
    <w:rsid w:val="008E2ABC"/>
    <w:rsid w:val="008E2E29"/>
    <w:rsid w:val="008E47E2"/>
    <w:rsid w:val="008E48CD"/>
    <w:rsid w:val="008F3EFC"/>
    <w:rsid w:val="009119B4"/>
    <w:rsid w:val="00924F0D"/>
    <w:rsid w:val="0092591C"/>
    <w:rsid w:val="0093677B"/>
    <w:rsid w:val="009402A7"/>
    <w:rsid w:val="0094053F"/>
    <w:rsid w:val="009457A0"/>
    <w:rsid w:val="00947DDD"/>
    <w:rsid w:val="00950217"/>
    <w:rsid w:val="009561AE"/>
    <w:rsid w:val="009604D8"/>
    <w:rsid w:val="00964938"/>
    <w:rsid w:val="0097181F"/>
    <w:rsid w:val="00973267"/>
    <w:rsid w:val="00975849"/>
    <w:rsid w:val="00984BFB"/>
    <w:rsid w:val="009865A1"/>
    <w:rsid w:val="00993A19"/>
    <w:rsid w:val="009A0AD1"/>
    <w:rsid w:val="009A4973"/>
    <w:rsid w:val="009A7C73"/>
    <w:rsid w:val="009B2559"/>
    <w:rsid w:val="009D2575"/>
    <w:rsid w:val="009E7DF3"/>
    <w:rsid w:val="00A0320B"/>
    <w:rsid w:val="00A061E8"/>
    <w:rsid w:val="00A07044"/>
    <w:rsid w:val="00A0775C"/>
    <w:rsid w:val="00A160D0"/>
    <w:rsid w:val="00A22565"/>
    <w:rsid w:val="00A22EFC"/>
    <w:rsid w:val="00A278F5"/>
    <w:rsid w:val="00A41B5D"/>
    <w:rsid w:val="00A4323A"/>
    <w:rsid w:val="00A445F8"/>
    <w:rsid w:val="00A47AE4"/>
    <w:rsid w:val="00A61128"/>
    <w:rsid w:val="00A61D63"/>
    <w:rsid w:val="00A6215E"/>
    <w:rsid w:val="00A66C40"/>
    <w:rsid w:val="00A72B63"/>
    <w:rsid w:val="00A73205"/>
    <w:rsid w:val="00A76169"/>
    <w:rsid w:val="00A77A38"/>
    <w:rsid w:val="00A96E21"/>
    <w:rsid w:val="00AA57A9"/>
    <w:rsid w:val="00AC0D7F"/>
    <w:rsid w:val="00AC4D3C"/>
    <w:rsid w:val="00AD72CE"/>
    <w:rsid w:val="00AD7315"/>
    <w:rsid w:val="00AE1BA2"/>
    <w:rsid w:val="00AE291C"/>
    <w:rsid w:val="00AF2AA7"/>
    <w:rsid w:val="00B02A5B"/>
    <w:rsid w:val="00B04143"/>
    <w:rsid w:val="00B069D4"/>
    <w:rsid w:val="00B130EE"/>
    <w:rsid w:val="00B22570"/>
    <w:rsid w:val="00B24CF4"/>
    <w:rsid w:val="00B30213"/>
    <w:rsid w:val="00B3599F"/>
    <w:rsid w:val="00B365D5"/>
    <w:rsid w:val="00B41395"/>
    <w:rsid w:val="00B53F5C"/>
    <w:rsid w:val="00B65207"/>
    <w:rsid w:val="00B703FD"/>
    <w:rsid w:val="00B72252"/>
    <w:rsid w:val="00B7396A"/>
    <w:rsid w:val="00B76D98"/>
    <w:rsid w:val="00B83C5A"/>
    <w:rsid w:val="00B84389"/>
    <w:rsid w:val="00B91F65"/>
    <w:rsid w:val="00BA014C"/>
    <w:rsid w:val="00BA1CBE"/>
    <w:rsid w:val="00BA7D34"/>
    <w:rsid w:val="00BB35A3"/>
    <w:rsid w:val="00BC0D63"/>
    <w:rsid w:val="00BC2C17"/>
    <w:rsid w:val="00BC3E4E"/>
    <w:rsid w:val="00BC3ED8"/>
    <w:rsid w:val="00BC4146"/>
    <w:rsid w:val="00BC5513"/>
    <w:rsid w:val="00BD216F"/>
    <w:rsid w:val="00BD79F4"/>
    <w:rsid w:val="00BE202A"/>
    <w:rsid w:val="00BE4C5C"/>
    <w:rsid w:val="00BE6DE5"/>
    <w:rsid w:val="00BE7672"/>
    <w:rsid w:val="00BF2878"/>
    <w:rsid w:val="00C07E0B"/>
    <w:rsid w:val="00C141C8"/>
    <w:rsid w:val="00C2203A"/>
    <w:rsid w:val="00C414FA"/>
    <w:rsid w:val="00C42C5A"/>
    <w:rsid w:val="00C458BC"/>
    <w:rsid w:val="00C45B88"/>
    <w:rsid w:val="00C46460"/>
    <w:rsid w:val="00C465C4"/>
    <w:rsid w:val="00C6089A"/>
    <w:rsid w:val="00C70B6C"/>
    <w:rsid w:val="00C71718"/>
    <w:rsid w:val="00C762CA"/>
    <w:rsid w:val="00C84850"/>
    <w:rsid w:val="00C913BE"/>
    <w:rsid w:val="00C92761"/>
    <w:rsid w:val="00CA246F"/>
    <w:rsid w:val="00CA527F"/>
    <w:rsid w:val="00CB079E"/>
    <w:rsid w:val="00CD04A9"/>
    <w:rsid w:val="00CD091D"/>
    <w:rsid w:val="00CD176E"/>
    <w:rsid w:val="00CD5925"/>
    <w:rsid w:val="00CD6485"/>
    <w:rsid w:val="00CE006D"/>
    <w:rsid w:val="00CE623B"/>
    <w:rsid w:val="00CF4BAF"/>
    <w:rsid w:val="00CF6F37"/>
    <w:rsid w:val="00CF72F1"/>
    <w:rsid w:val="00D00158"/>
    <w:rsid w:val="00D020F9"/>
    <w:rsid w:val="00D025A8"/>
    <w:rsid w:val="00D02F19"/>
    <w:rsid w:val="00D0390A"/>
    <w:rsid w:val="00D03E0B"/>
    <w:rsid w:val="00D04433"/>
    <w:rsid w:val="00D26E58"/>
    <w:rsid w:val="00D343EA"/>
    <w:rsid w:val="00D42353"/>
    <w:rsid w:val="00D55C6F"/>
    <w:rsid w:val="00D55E08"/>
    <w:rsid w:val="00D56538"/>
    <w:rsid w:val="00D5690E"/>
    <w:rsid w:val="00D62887"/>
    <w:rsid w:val="00D64AA2"/>
    <w:rsid w:val="00D750E5"/>
    <w:rsid w:val="00D813B7"/>
    <w:rsid w:val="00D904D4"/>
    <w:rsid w:val="00D919C7"/>
    <w:rsid w:val="00DA4990"/>
    <w:rsid w:val="00DA5B17"/>
    <w:rsid w:val="00DB62C4"/>
    <w:rsid w:val="00DC1EA9"/>
    <w:rsid w:val="00DC25B7"/>
    <w:rsid w:val="00DC37CB"/>
    <w:rsid w:val="00DC38C1"/>
    <w:rsid w:val="00DC7FC9"/>
    <w:rsid w:val="00DD2E2D"/>
    <w:rsid w:val="00DD5D8A"/>
    <w:rsid w:val="00DE2D04"/>
    <w:rsid w:val="00DF5E1E"/>
    <w:rsid w:val="00E06C0C"/>
    <w:rsid w:val="00E2761D"/>
    <w:rsid w:val="00E301A8"/>
    <w:rsid w:val="00E377DA"/>
    <w:rsid w:val="00E42973"/>
    <w:rsid w:val="00E50B99"/>
    <w:rsid w:val="00E51136"/>
    <w:rsid w:val="00E51F5B"/>
    <w:rsid w:val="00E527C2"/>
    <w:rsid w:val="00E52979"/>
    <w:rsid w:val="00E54C13"/>
    <w:rsid w:val="00E6135C"/>
    <w:rsid w:val="00E618BE"/>
    <w:rsid w:val="00E636DD"/>
    <w:rsid w:val="00E6435A"/>
    <w:rsid w:val="00EB2104"/>
    <w:rsid w:val="00EB2464"/>
    <w:rsid w:val="00EB343C"/>
    <w:rsid w:val="00EB4305"/>
    <w:rsid w:val="00EB68FD"/>
    <w:rsid w:val="00EB6BB8"/>
    <w:rsid w:val="00EC5230"/>
    <w:rsid w:val="00EC5E66"/>
    <w:rsid w:val="00EC71E1"/>
    <w:rsid w:val="00ED14BF"/>
    <w:rsid w:val="00ED2FA1"/>
    <w:rsid w:val="00EE1A8C"/>
    <w:rsid w:val="00EF28DB"/>
    <w:rsid w:val="00F00043"/>
    <w:rsid w:val="00F021DD"/>
    <w:rsid w:val="00F029AA"/>
    <w:rsid w:val="00F22801"/>
    <w:rsid w:val="00F24D1C"/>
    <w:rsid w:val="00F37CAB"/>
    <w:rsid w:val="00F478E0"/>
    <w:rsid w:val="00F53D23"/>
    <w:rsid w:val="00F56B68"/>
    <w:rsid w:val="00F64645"/>
    <w:rsid w:val="00F64DE9"/>
    <w:rsid w:val="00F74A9B"/>
    <w:rsid w:val="00F82360"/>
    <w:rsid w:val="00F83B5C"/>
    <w:rsid w:val="00F83C31"/>
    <w:rsid w:val="00FB0F0E"/>
    <w:rsid w:val="00FC392A"/>
    <w:rsid w:val="00FC4E78"/>
    <w:rsid w:val="00FC5B73"/>
    <w:rsid w:val="00FD0B92"/>
    <w:rsid w:val="00FD1419"/>
    <w:rsid w:val="00FD2740"/>
    <w:rsid w:val="00FE05E0"/>
    <w:rsid w:val="00FE45FE"/>
    <w:rsid w:val="00FE72C9"/>
    <w:rsid w:val="00FE78B5"/>
    <w:rsid w:val="00FF077E"/>
    <w:rsid w:val="00FF2973"/>
    <w:rsid w:val="00FF3CD6"/>
    <w:rsid w:val="1A98FAC5"/>
    <w:rsid w:val="2E83A0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D62ED2"/>
  <w15:docId w15:val="{5BCDE7AD-94F1-4669-9BD5-B948C31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8973EC"/>
    <w:rPr>
      <w:kern w:val="0"/>
      <w:sz w:val="22"/>
      <w:szCs w:val="22"/>
      <w:lang w:val="es-ES"/>
      <w14:ligatures w14:val="none"/>
    </w:rPr>
  </w:style>
  <w:style w:type="table" w:styleId="Tablaconcuadrcula">
    <w:name w:val="Table Grid"/>
    <w:basedOn w:val="Tablanormal"/>
    <w:uiPriority w:val="39"/>
    <w:rsid w:val="002C2478"/>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8C1"/>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Textoindependiente">
    <w:name w:val="Body Text"/>
    <w:basedOn w:val="Normal"/>
    <w:link w:val="TextoindependienteCar"/>
    <w:unhideWhenUsed/>
    <w:rsid w:val="003C58C1"/>
    <w:pPr>
      <w:ind w:right="-57"/>
    </w:pPr>
    <w:rPr>
      <w:rFonts w:ascii="Arial" w:eastAsia="Times New Roman" w:hAnsi="Arial" w:cs="Times New Roman"/>
      <w:kern w:val="0"/>
      <w:szCs w:val="20"/>
      <w:lang w:eastAsia="es-ES"/>
      <w14:ligatures w14:val="none"/>
    </w:rPr>
  </w:style>
  <w:style w:type="character" w:customStyle="1" w:styleId="TextoindependienteCar">
    <w:name w:val="Texto independiente Car"/>
    <w:basedOn w:val="Fuentedeprrafopredeter"/>
    <w:link w:val="Textoindependiente"/>
    <w:rsid w:val="003C58C1"/>
    <w:rPr>
      <w:rFonts w:ascii="Arial" w:eastAsia="Times New Roman" w:hAnsi="Arial" w:cs="Times New Roman"/>
      <w:kern w:val="0"/>
      <w:szCs w:val="20"/>
      <w:lang w:eastAsia="es-ES"/>
      <w14:ligatures w14:val="none"/>
    </w:rPr>
  </w:style>
  <w:style w:type="paragraph" w:styleId="Prrafodelista">
    <w:name w:val="List Paragraph"/>
    <w:basedOn w:val="Normal"/>
    <w:uiPriority w:val="34"/>
    <w:qFormat/>
    <w:rsid w:val="00B91F65"/>
    <w:pPr>
      <w:ind w:left="720"/>
      <w:contextualSpacing/>
    </w:pPr>
  </w:style>
  <w:style w:type="paragraph" w:styleId="Textodeglobo">
    <w:name w:val="Balloon Text"/>
    <w:basedOn w:val="Normal"/>
    <w:link w:val="TextodegloboCar"/>
    <w:uiPriority w:val="99"/>
    <w:semiHidden/>
    <w:unhideWhenUsed/>
    <w:rsid w:val="008E0F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Ley97</b:Tag>
    <b:SourceType>JournalArticle</b:SourceType>
    <b:Guid>{34E94D7C-98DF-40F9-B134-B4E8BEB46618}</b:Guid>
    <b:Title>Ley del Organismo Ejecutivo</b:Title>
    <b:Year>1997</b:Year>
    <b:JournalName>Decreto No. 114-97</b:JournalName>
    <b:RefOrder>1</b:RefOrder>
  </b:Source>
</b:Sources>
</file>

<file path=customXml/itemProps1.xml><?xml version="1.0" encoding="utf-8"?>
<ds:datastoreItem xmlns:ds="http://schemas.openxmlformats.org/officeDocument/2006/customXml" ds:itemID="{5F0308C0-A267-4107-B017-A420A30B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2384</Words>
  <Characters>13118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arrivillaga</dc:creator>
  <cp:lastModifiedBy>Cindy Gisela Barrios de Navas</cp:lastModifiedBy>
  <cp:revision>149</cp:revision>
  <cp:lastPrinted>2024-10-04T19:52:00Z</cp:lastPrinted>
  <dcterms:created xsi:type="dcterms:W3CDTF">2024-10-10T01:08:00Z</dcterms:created>
  <dcterms:modified xsi:type="dcterms:W3CDTF">2024-12-12T18:28:00Z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715555313</vt:i4>
  </property>
</Properties>
</file>