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Pr="00FD0B92" w:rsidRDefault="003C58C1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262C0897" w:rsidR="003C58C1" w:rsidRPr="00FD0B92" w:rsidRDefault="00B65E65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Diciembre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de 2024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3197150E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Ministerio de Economía</w:t>
      </w:r>
    </w:p>
    <w:p w14:paraId="0C0F9713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CDD0C79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5111DC5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 </w:t>
      </w:r>
      <w:r w:rsidR="00B65E65">
        <w:rPr>
          <w:rFonts w:ascii="Verdana" w:hAnsi="Verdana" w:cs="Arial"/>
          <w:b/>
          <w:lang w:val="es-MX"/>
        </w:rPr>
        <w:t>DICIEMBRE</w:t>
      </w:r>
      <w:r w:rsidR="0010018F">
        <w:rPr>
          <w:rFonts w:ascii="Verdana" w:hAnsi="Verdana" w:cs="Arial"/>
          <w:b/>
          <w:lang w:val="es-MX"/>
        </w:rPr>
        <w:t xml:space="preserve"> DE 2024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7777777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37E36AC1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>Para lograr su objetivo cuenta con 5 Viceministerios los cuales cada uno tiene presupuesto asignado, pero a su vez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8A4687C" w14:textId="59F0D44E" w:rsidR="003C58C1" w:rsidRPr="0010018F" w:rsidRDefault="00D55C6F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>Al Viceministerio Administrativo y Financiero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le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presupuesto por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l</w:t>
      </w:r>
      <w:r w:rsidR="00323D37">
        <w:rPr>
          <w:rFonts w:ascii="Verdana" w:eastAsia="Calibri" w:hAnsi="Verdana" w:cs="Arial"/>
          <w:szCs w:val="24"/>
          <w:lang w:val="es-MX" w:eastAsia="en-US"/>
        </w:rPr>
        <w:t>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23D37">
        <w:rPr>
          <w:rFonts w:ascii="Verdana" w:eastAsia="Calibri" w:hAnsi="Verdana" w:cs="Arial"/>
          <w:szCs w:val="24"/>
          <w:lang w:val="es-MX" w:eastAsia="en-US"/>
        </w:rPr>
        <w:t>cantidad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Q188,688,825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de lo cual </w:t>
      </w:r>
      <w:r w:rsidR="00172F0D">
        <w:rPr>
          <w:rFonts w:ascii="Verdana" w:eastAsia="Calibri" w:hAnsi="Verdana" w:cs="Arial"/>
          <w:szCs w:val="24"/>
          <w:lang w:val="es-MX" w:eastAsia="en-US"/>
        </w:rPr>
        <w:t>tiene movimiento de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presupuesto por la cantidad de Q</w:t>
      </w:r>
      <w:r w:rsidR="00172F0D">
        <w:rPr>
          <w:rFonts w:ascii="Verdana" w:eastAsia="Calibri" w:hAnsi="Verdana" w:cs="Arial"/>
          <w:szCs w:val="24"/>
          <w:lang w:val="es-MX" w:eastAsia="en-US"/>
        </w:rPr>
        <w:t>376,295</w:t>
      </w:r>
      <w:r w:rsidR="00323D37">
        <w:rPr>
          <w:rFonts w:ascii="Verdana" w:eastAsia="Calibri" w:hAnsi="Verdana" w:cs="Arial"/>
          <w:szCs w:val="24"/>
          <w:lang w:val="es-MX" w:eastAsia="en-US"/>
        </w:rPr>
        <w:t>.00</w:t>
      </w:r>
      <w:r w:rsidR="00172F0D">
        <w:rPr>
          <w:rFonts w:ascii="Verdana" w:eastAsia="Calibri" w:hAnsi="Verdana" w:cs="Arial"/>
          <w:szCs w:val="24"/>
          <w:lang w:val="es-MX" w:eastAsia="en-US"/>
        </w:rPr>
        <w:t>, actualmente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 con un presupuesto vigente por la cantidad de </w:t>
      </w:r>
      <w:r w:rsidR="00C84850" w:rsidRPr="00C84850">
        <w:rPr>
          <w:rFonts w:ascii="Verdana" w:eastAsia="Calibri" w:hAnsi="Verdana" w:cs="Arial"/>
          <w:b/>
          <w:szCs w:val="24"/>
          <w:lang w:val="es-MX" w:eastAsia="en-US"/>
        </w:rPr>
        <w:t>Q18</w:t>
      </w:r>
      <w:r w:rsidR="00172F0D">
        <w:rPr>
          <w:rFonts w:ascii="Verdana" w:eastAsia="Calibri" w:hAnsi="Verdana" w:cs="Arial"/>
          <w:b/>
          <w:szCs w:val="24"/>
          <w:lang w:val="es-MX" w:eastAsia="en-US"/>
        </w:rPr>
        <w:t>9.0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lo cual al cierre de </w:t>
      </w:r>
      <w:r w:rsidR="00172F0D">
        <w:rPr>
          <w:rFonts w:ascii="Verdana" w:eastAsia="Calibri" w:hAnsi="Verdana" w:cs="Arial"/>
          <w:szCs w:val="24"/>
          <w:lang w:val="es-MX" w:eastAsia="en-US"/>
        </w:rPr>
        <w:t>diciembre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5423E5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172F0D">
        <w:rPr>
          <w:rFonts w:ascii="Verdana" w:eastAsia="Calibri" w:hAnsi="Verdana" w:cs="Arial"/>
          <w:b/>
          <w:szCs w:val="24"/>
          <w:lang w:val="es-MX" w:eastAsia="en-US"/>
        </w:rPr>
        <w:t>70</w:t>
      </w:r>
      <w:r w:rsidR="005423E5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172F0D">
        <w:rPr>
          <w:rFonts w:ascii="Verdana" w:eastAsia="Calibri" w:hAnsi="Verdana" w:cs="Arial"/>
          <w:b/>
          <w:szCs w:val="24"/>
          <w:lang w:val="es-MX" w:eastAsia="en-US"/>
        </w:rPr>
        <w:t>9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millones, lo que representa el </w:t>
      </w:r>
      <w:r w:rsidR="00172F0D">
        <w:rPr>
          <w:rFonts w:ascii="Verdana" w:eastAsia="Calibri" w:hAnsi="Verdana" w:cs="Arial"/>
          <w:b/>
          <w:szCs w:val="24"/>
          <w:lang w:val="es-MX" w:eastAsia="en-US"/>
        </w:rPr>
        <w:t>90</w:t>
      </w:r>
      <w:r w:rsidR="005423E5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172F0D">
        <w:rPr>
          <w:rFonts w:ascii="Verdana" w:eastAsia="Calibri" w:hAnsi="Verdana" w:cs="Arial"/>
          <w:b/>
          <w:szCs w:val="24"/>
          <w:lang w:val="es-MX" w:eastAsia="en-US"/>
        </w:rPr>
        <w:t>40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%.</w:t>
      </w:r>
    </w:p>
    <w:p w14:paraId="76491EFB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6E367D64" w14:textId="675D8CC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6CD8038E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1D80954D" w14:textId="6B32E1CA" w:rsidR="003C58C1" w:rsidRPr="0010018F" w:rsidRDefault="00B64464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67D8D80D" wp14:editId="44E9A680">
            <wp:extent cx="4638675" cy="2409190"/>
            <wp:effectExtent l="0" t="0" r="9525" b="0"/>
            <wp:docPr id="2001632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 t="2701" r="5510" b="15589"/>
                    <a:stretch/>
                  </pic:blipFill>
                  <pic:spPr bwMode="auto">
                    <a:xfrm>
                      <a:off x="0" y="0"/>
                      <a:ext cx="4677451" cy="24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DE9D7" w14:textId="77777777" w:rsidR="006014DF" w:rsidRPr="006014DF" w:rsidRDefault="006014DF" w:rsidP="003C58C1">
      <w:pPr>
        <w:jc w:val="center"/>
        <w:rPr>
          <w:rFonts w:ascii="Verdana" w:hAnsi="Verdana" w:cs="Arial"/>
          <w:b/>
          <w:sz w:val="8"/>
          <w:lang w:val="es-MX"/>
        </w:rPr>
      </w:pPr>
    </w:p>
    <w:p w14:paraId="48928AB7" w14:textId="70E9441F" w:rsidR="003C58C1" w:rsidRDefault="003C58C1" w:rsidP="003C58C1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</w:t>
      </w:r>
      <w:r w:rsidR="003D10AA" w:rsidRPr="006014DF">
        <w:rPr>
          <w:rFonts w:ascii="Verdana" w:hAnsi="Verdana" w:cs="Arial"/>
          <w:sz w:val="14"/>
          <w:lang w:val="es-MX"/>
        </w:rPr>
        <w:t>tema de Contabilidad Integrada</w:t>
      </w:r>
      <w:r w:rsidR="00C141C8">
        <w:rPr>
          <w:rFonts w:ascii="Verdana" w:hAnsi="Verdana" w:cs="Arial"/>
          <w:sz w:val="14"/>
          <w:lang w:val="es-MX"/>
        </w:rPr>
        <w:t xml:space="preserve"> (</w:t>
      </w:r>
      <w:proofErr w:type="spellStart"/>
      <w:r w:rsidR="00C141C8">
        <w:rPr>
          <w:rFonts w:ascii="Verdana" w:hAnsi="Verdana" w:cs="Arial"/>
          <w:sz w:val="14"/>
          <w:lang w:val="es-MX"/>
        </w:rPr>
        <w:t>Sicoin</w:t>
      </w:r>
      <w:proofErr w:type="spellEnd"/>
      <w:r w:rsidR="00C141C8">
        <w:rPr>
          <w:rFonts w:ascii="Verdana" w:hAnsi="Verdana" w:cs="Arial"/>
          <w:sz w:val="14"/>
          <w:lang w:val="es-MX"/>
        </w:rPr>
        <w:t>) 0</w:t>
      </w:r>
      <w:r w:rsidR="00B64464">
        <w:rPr>
          <w:rFonts w:ascii="Verdana" w:hAnsi="Verdana" w:cs="Arial"/>
          <w:sz w:val="14"/>
          <w:lang w:val="es-MX"/>
        </w:rPr>
        <w:t>2</w:t>
      </w:r>
      <w:r w:rsidR="006014DF" w:rsidRPr="006014DF">
        <w:rPr>
          <w:rFonts w:ascii="Verdana" w:hAnsi="Verdana" w:cs="Arial"/>
          <w:sz w:val="14"/>
          <w:lang w:val="es-MX"/>
        </w:rPr>
        <w:t>/</w:t>
      </w:r>
      <w:r w:rsidR="00B64464">
        <w:rPr>
          <w:rFonts w:ascii="Verdana" w:hAnsi="Verdana" w:cs="Arial"/>
          <w:sz w:val="14"/>
          <w:lang w:val="es-MX"/>
        </w:rPr>
        <w:t>01</w:t>
      </w:r>
      <w:r w:rsidR="006014DF" w:rsidRPr="006014DF">
        <w:rPr>
          <w:rFonts w:ascii="Verdana" w:hAnsi="Verdana" w:cs="Arial"/>
          <w:sz w:val="14"/>
          <w:lang w:val="es-MX"/>
        </w:rPr>
        <w:t>/202</w:t>
      </w:r>
      <w:r w:rsidR="00B64464">
        <w:rPr>
          <w:rFonts w:ascii="Verdana" w:hAnsi="Verdana" w:cs="Arial"/>
          <w:sz w:val="14"/>
          <w:lang w:val="es-MX"/>
        </w:rPr>
        <w:t>5</w:t>
      </w:r>
    </w:p>
    <w:p w14:paraId="12097ABE" w14:textId="64975C1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7B9A5F63" w:rsidR="0029077D" w:rsidRPr="0010018F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10B68AF1" w14:textId="6C4A5305" w:rsidR="003C58C1" w:rsidRDefault="0074326E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03751467" wp14:editId="0ED0D7E9">
            <wp:simplePos x="0" y="0"/>
            <wp:positionH relativeFrom="margin">
              <wp:posOffset>-661035</wp:posOffset>
            </wp:positionH>
            <wp:positionV relativeFrom="paragraph">
              <wp:posOffset>205105</wp:posOffset>
            </wp:positionV>
            <wp:extent cx="6953250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41" y="21564"/>
                <wp:lineTo x="21541" y="0"/>
                <wp:lineTo x="0" y="0"/>
              </wp:wrapPolygon>
            </wp:wrapTight>
            <wp:docPr id="18433154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68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C1" w:rsidRPr="0010018F">
        <w:rPr>
          <w:rFonts w:ascii="Verdana" w:hAnsi="Verdana" w:cs="Arial"/>
          <w:b/>
          <w:lang w:val="es-MX"/>
        </w:rPr>
        <w:t>Ejecución Presupuestaria</w:t>
      </w:r>
    </w:p>
    <w:p w14:paraId="306C8A5D" w14:textId="113E6D4E" w:rsidR="00884387" w:rsidRPr="0010018F" w:rsidRDefault="00A278F5" w:rsidP="00A51C2E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</w:t>
      </w:r>
      <w:r w:rsidR="0074326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74326E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74326E">
        <w:rPr>
          <w:rFonts w:ascii="Verdana" w:hAnsi="Verdana" w:cs="Arial"/>
          <w:sz w:val="14"/>
          <w:lang w:val="es-MX"/>
        </w:rPr>
        <w:t>5</w:t>
      </w:r>
    </w:p>
    <w:p w14:paraId="08F30045" w14:textId="77777777" w:rsidR="00884387" w:rsidRPr="0010018F" w:rsidRDefault="00884387" w:rsidP="003C58C1">
      <w:pPr>
        <w:jc w:val="center"/>
        <w:rPr>
          <w:rFonts w:ascii="Verdana" w:hAnsi="Verdana" w:cs="Arial"/>
          <w:lang w:val="es-MX"/>
        </w:rPr>
      </w:pPr>
    </w:p>
    <w:p w14:paraId="761C2F23" w14:textId="3AE0D919" w:rsidR="003C58C1" w:rsidRDefault="00F83C31" w:rsidP="003C58C1">
      <w:pPr>
        <w:jc w:val="both"/>
        <w:rPr>
          <w:rFonts w:ascii="Verdana" w:hAnsi="Verdana"/>
        </w:rPr>
      </w:pPr>
      <w:r w:rsidRPr="0010018F">
        <w:rPr>
          <w:rFonts w:ascii="Verdana" w:hAnsi="Verdana" w:cs="Arial"/>
          <w:lang w:val="es-MX"/>
        </w:rPr>
        <w:t xml:space="preserve">El cuadro No. 1 presenta la ejecución presupuestaria de los gastos del Viceministerio Administrativo y Financiero, </w:t>
      </w:r>
      <w:r w:rsidR="003C58C1" w:rsidRPr="0010018F">
        <w:rPr>
          <w:rFonts w:ascii="Verdana" w:hAnsi="Verdana" w:cs="Arial"/>
          <w:lang w:val="es-MX"/>
        </w:rPr>
        <w:t>l</w:t>
      </w:r>
      <w:r w:rsidRPr="0010018F">
        <w:rPr>
          <w:rFonts w:ascii="Verdana" w:hAnsi="Verdana" w:cs="Arial"/>
          <w:lang w:val="es-MX"/>
        </w:rPr>
        <w:t>o</w:t>
      </w:r>
      <w:r w:rsidR="003C58C1" w:rsidRPr="0010018F">
        <w:rPr>
          <w:rFonts w:ascii="Verdana" w:hAnsi="Verdana" w:cs="Arial"/>
          <w:lang w:val="es-MX"/>
        </w:rPr>
        <w:t>s que</w:t>
      </w:r>
      <w:r w:rsidRPr="0010018F">
        <w:rPr>
          <w:rFonts w:ascii="Verdana" w:hAnsi="Verdana" w:cs="Arial"/>
          <w:lang w:val="es-MX"/>
        </w:rPr>
        <w:t xml:space="preserve"> en</w:t>
      </w:r>
      <w:r w:rsidR="003C58C1" w:rsidRPr="0010018F">
        <w:rPr>
          <w:rFonts w:ascii="Verdana" w:hAnsi="Verdana" w:cs="Arial"/>
          <w:lang w:val="es-MX"/>
        </w:rPr>
        <w:t xml:space="preserve"> su mayoría s</w:t>
      </w:r>
      <w:r w:rsidR="00EB4305" w:rsidRPr="0010018F">
        <w:rPr>
          <w:rFonts w:ascii="Verdana" w:hAnsi="Verdana" w:cs="Arial"/>
          <w:lang w:val="es-MX"/>
        </w:rPr>
        <w:t>e concentran en pago de nómina,</w:t>
      </w:r>
      <w:r w:rsidR="003C58C1" w:rsidRPr="0010018F">
        <w:rPr>
          <w:rFonts w:ascii="Verdana" w:hAnsi="Verdana" w:cs="Arial"/>
          <w:lang w:val="es-MX"/>
        </w:rPr>
        <w:t xml:space="preserve"> servicios</w:t>
      </w:r>
      <w:r w:rsidR="00241FB3" w:rsidRPr="0010018F">
        <w:rPr>
          <w:rFonts w:ascii="Verdana" w:hAnsi="Verdana" w:cs="Arial"/>
          <w:lang w:val="es-MX"/>
        </w:rPr>
        <w:t>,</w:t>
      </w:r>
      <w:r w:rsidR="00D020F9">
        <w:rPr>
          <w:rFonts w:ascii="Verdana" w:hAnsi="Verdana" w:cs="Arial"/>
          <w:lang w:val="es-MX"/>
        </w:rPr>
        <w:t xml:space="preserve"> transferencias a entes receptores de transferencias corrientes y de capital</w:t>
      </w:r>
      <w:r w:rsidR="00241FB3" w:rsidRPr="0010018F">
        <w:rPr>
          <w:rFonts w:ascii="Verdana" w:hAnsi="Verdana" w:cs="Arial"/>
          <w:lang w:val="es-MX"/>
        </w:rPr>
        <w:t xml:space="preserve"> y sentencias judiciales</w:t>
      </w:r>
      <w:r w:rsidR="003C58C1" w:rsidRPr="0010018F">
        <w:rPr>
          <w:rFonts w:ascii="Verdana" w:hAnsi="Verdana" w:cs="Arial"/>
          <w:lang w:val="es-MX"/>
        </w:rPr>
        <w:t>:</w:t>
      </w:r>
    </w:p>
    <w:p w14:paraId="3249555D" w14:textId="7273FF1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593056F8" w:rsidR="003C58C1" w:rsidRPr="0010018F" w:rsidRDefault="005E467A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Presupuesto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78B8A45B" w14:textId="2E855FD5" w:rsidR="008147DB" w:rsidRDefault="0074326E" w:rsidP="003C58C1">
      <w:pPr>
        <w:jc w:val="center"/>
        <w:rPr>
          <w:rFonts w:ascii="Verdana" w:hAnsi="Verdana" w:cs="Arial"/>
          <w:b/>
          <w:sz w:val="16"/>
          <w:lang w:val="es-MX"/>
        </w:rPr>
      </w:pPr>
      <w:r w:rsidRPr="0074326E">
        <w:drawing>
          <wp:anchor distT="0" distB="0" distL="114300" distR="114300" simplePos="0" relativeHeight="251659264" behindDoc="1" locked="0" layoutInCell="1" allowOverlap="1" wp14:anchorId="2F66F047" wp14:editId="229D45F6">
            <wp:simplePos x="0" y="0"/>
            <wp:positionH relativeFrom="column">
              <wp:posOffset>-575310</wp:posOffset>
            </wp:positionH>
            <wp:positionV relativeFrom="paragraph">
              <wp:posOffset>115570</wp:posOffset>
            </wp:positionV>
            <wp:extent cx="6734175" cy="6762750"/>
            <wp:effectExtent l="0" t="0" r="9525" b="0"/>
            <wp:wrapTight wrapText="bothSides">
              <wp:wrapPolygon edited="0">
                <wp:start x="0" y="61"/>
                <wp:lineTo x="0" y="21539"/>
                <wp:lineTo x="21569" y="21539"/>
                <wp:lineTo x="21569" y="21052"/>
                <wp:lineTo x="21325" y="20931"/>
                <wp:lineTo x="20164" y="20626"/>
                <wp:lineTo x="20408" y="20626"/>
                <wp:lineTo x="21569" y="19835"/>
                <wp:lineTo x="21569" y="18254"/>
                <wp:lineTo x="21325" y="18132"/>
                <wp:lineTo x="20164" y="17706"/>
                <wp:lineTo x="20531" y="17706"/>
                <wp:lineTo x="21569" y="16976"/>
                <wp:lineTo x="21569" y="15211"/>
                <wp:lineTo x="21386" y="15090"/>
                <wp:lineTo x="20164" y="14785"/>
                <wp:lineTo x="20653" y="14785"/>
                <wp:lineTo x="21569" y="14177"/>
                <wp:lineTo x="21569" y="6145"/>
                <wp:lineTo x="21386" y="6024"/>
                <wp:lineTo x="20592" y="6024"/>
                <wp:lineTo x="21569" y="5354"/>
                <wp:lineTo x="21569" y="2738"/>
                <wp:lineTo x="21325" y="2555"/>
                <wp:lineTo x="20164" y="2130"/>
                <wp:lineTo x="21386" y="2130"/>
                <wp:lineTo x="21569" y="2008"/>
                <wp:lineTo x="21569" y="61"/>
                <wp:lineTo x="0" y="61"/>
              </wp:wrapPolygon>
            </wp:wrapTight>
            <wp:docPr id="3171686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8"/>
                    <a:stretch/>
                  </pic:blipFill>
                  <pic:spPr bwMode="auto">
                    <a:xfrm>
                      <a:off x="0" y="0"/>
                      <a:ext cx="67341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6642" w14:textId="0C1CBFBB" w:rsidR="00AE1BA2" w:rsidRPr="0010018F" w:rsidRDefault="00A278F5" w:rsidP="00A51C2E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</w:t>
      </w:r>
      <w:r w:rsidR="0074326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74326E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74326E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</w:p>
    <w:p w14:paraId="5C598A23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008843C1" w14:textId="3CA335F3" w:rsidR="003C58C1" w:rsidRDefault="0063380F" w:rsidP="003C58C1">
      <w:pPr>
        <w:jc w:val="both"/>
        <w:rPr>
          <w:rFonts w:ascii="Verdana" w:hAnsi="Verdana" w:cs="Arial"/>
          <w:lang w:val="es-MX"/>
        </w:rPr>
      </w:pPr>
      <w:r w:rsidRPr="0010018F">
        <w:rPr>
          <w:rFonts w:ascii="Verdana" w:hAnsi="Verdana" w:cs="Arial"/>
          <w:lang w:val="es-MX"/>
        </w:rPr>
        <w:t>El cuadro No. 2</w:t>
      </w:r>
      <w:r w:rsidR="003C58C1" w:rsidRPr="0010018F">
        <w:rPr>
          <w:rFonts w:ascii="Verdana" w:hAnsi="Verdana" w:cs="Arial"/>
          <w:lang w:val="es-MX"/>
        </w:rPr>
        <w:t xml:space="preserve"> detalla el comportamiento del uso de las cuotas financieras por las distintas fuentes de financiamiento: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6A66175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0A83BB33" w:rsidR="005E467A" w:rsidRPr="0010018F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6211E536" w14:textId="384CE8E4" w:rsidR="0063380F" w:rsidRPr="0010018F" w:rsidRDefault="00A51C2E" w:rsidP="003C58C1">
      <w:pPr>
        <w:rPr>
          <w:rFonts w:ascii="Verdana" w:hAnsi="Verdana"/>
          <w:noProof/>
          <w:lang w:eastAsia="es-GT"/>
        </w:rPr>
      </w:pPr>
      <w:r w:rsidRPr="00A51C2E">
        <w:drawing>
          <wp:anchor distT="0" distB="0" distL="114300" distR="114300" simplePos="0" relativeHeight="251660288" behindDoc="1" locked="0" layoutInCell="1" allowOverlap="1" wp14:anchorId="34D1EF39" wp14:editId="39AE0B55">
            <wp:simplePos x="0" y="0"/>
            <wp:positionH relativeFrom="margin">
              <wp:posOffset>-413385</wp:posOffset>
            </wp:positionH>
            <wp:positionV relativeFrom="paragraph">
              <wp:posOffset>182245</wp:posOffset>
            </wp:positionV>
            <wp:extent cx="6400800" cy="3543300"/>
            <wp:effectExtent l="0" t="0" r="0" b="0"/>
            <wp:wrapTight wrapText="bothSides">
              <wp:wrapPolygon edited="0">
                <wp:start x="0" y="232"/>
                <wp:lineTo x="0" y="21484"/>
                <wp:lineTo x="19479" y="21484"/>
                <wp:lineTo x="19479" y="20903"/>
                <wp:lineTo x="21536" y="20555"/>
                <wp:lineTo x="21536" y="19045"/>
                <wp:lineTo x="19479" y="19045"/>
                <wp:lineTo x="21279" y="18465"/>
                <wp:lineTo x="21279" y="17768"/>
                <wp:lineTo x="19479" y="17187"/>
                <wp:lineTo x="21536" y="17071"/>
                <wp:lineTo x="21536" y="15329"/>
                <wp:lineTo x="19479" y="15329"/>
                <wp:lineTo x="21536" y="14748"/>
                <wp:lineTo x="21279" y="13471"/>
                <wp:lineTo x="21471" y="12426"/>
                <wp:lineTo x="21279" y="12194"/>
                <wp:lineTo x="19479" y="11613"/>
                <wp:lineTo x="21536" y="11613"/>
                <wp:lineTo x="21536" y="9987"/>
                <wp:lineTo x="20764" y="9755"/>
                <wp:lineTo x="21536" y="9058"/>
                <wp:lineTo x="21536" y="6735"/>
                <wp:lineTo x="21086" y="6039"/>
                <wp:lineTo x="21536" y="5574"/>
                <wp:lineTo x="21536" y="232"/>
                <wp:lineTo x="0" y="232"/>
              </wp:wrapPolygon>
            </wp:wrapTight>
            <wp:docPr id="13497072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2"/>
                    <a:stretch/>
                  </pic:blipFill>
                  <pic:spPr bwMode="auto">
                    <a:xfrm>
                      <a:off x="0" y="0"/>
                      <a:ext cx="6400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90958" w14:textId="3615E784" w:rsidR="003C58C1" w:rsidRPr="0010018F" w:rsidRDefault="008F3EFC" w:rsidP="00A51C2E">
      <w:pPr>
        <w:rPr>
          <w:rFonts w:ascii="Verdana" w:hAnsi="Verdana" w:cs="Arial"/>
          <w:b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</w:t>
      </w:r>
      <w:r w:rsidR="00A51C2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A51C2E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A51C2E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</w:p>
    <w:p w14:paraId="19C85F38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4F8E1A0C" w14:textId="77777777" w:rsidR="003C58C1" w:rsidRPr="0010018F" w:rsidRDefault="003C58C1" w:rsidP="003C58C1">
      <w:pPr>
        <w:rPr>
          <w:rFonts w:ascii="Verdana" w:hAnsi="Verdana"/>
        </w:rPr>
      </w:pPr>
    </w:p>
    <w:p w14:paraId="0C99738D" w14:textId="77777777" w:rsidR="003C58C1" w:rsidRPr="0010018F" w:rsidRDefault="003C58C1" w:rsidP="003C58C1">
      <w:pPr>
        <w:rPr>
          <w:rFonts w:ascii="Verdana" w:hAnsi="Verdana"/>
        </w:rPr>
      </w:pPr>
    </w:p>
    <w:p w14:paraId="75F29254" w14:textId="77777777" w:rsidR="003C58C1" w:rsidRPr="0010018F" w:rsidRDefault="003C58C1" w:rsidP="003C58C1">
      <w:pPr>
        <w:rPr>
          <w:rFonts w:ascii="Verdana" w:hAnsi="Verdana"/>
        </w:rPr>
      </w:pPr>
    </w:p>
    <w:p w14:paraId="75E4A3DD" w14:textId="77777777" w:rsidR="003C58C1" w:rsidRPr="0010018F" w:rsidRDefault="003C58C1" w:rsidP="003C58C1">
      <w:pPr>
        <w:rPr>
          <w:rFonts w:ascii="Verdana" w:hAnsi="Verdana"/>
        </w:rPr>
      </w:pPr>
    </w:p>
    <w:p w14:paraId="49D6D4B2" w14:textId="77777777" w:rsidR="003C58C1" w:rsidRPr="0010018F" w:rsidRDefault="003C58C1" w:rsidP="003C58C1">
      <w:pPr>
        <w:rPr>
          <w:rFonts w:ascii="Verdana" w:hAnsi="Verdana"/>
        </w:rPr>
      </w:pPr>
    </w:p>
    <w:p w14:paraId="51AA9178" w14:textId="77777777" w:rsidR="003C58C1" w:rsidRPr="0010018F" w:rsidRDefault="003C58C1" w:rsidP="003C58C1">
      <w:pPr>
        <w:rPr>
          <w:rFonts w:ascii="Verdana" w:hAnsi="Verdana"/>
        </w:rPr>
      </w:pPr>
    </w:p>
    <w:p w14:paraId="179B9C83" w14:textId="77777777" w:rsidR="003C58C1" w:rsidRPr="0010018F" w:rsidRDefault="003C58C1" w:rsidP="003C58C1">
      <w:pPr>
        <w:rPr>
          <w:rFonts w:ascii="Verdana" w:hAnsi="Verdana"/>
        </w:rPr>
      </w:pPr>
    </w:p>
    <w:p w14:paraId="47D000FE" w14:textId="77777777" w:rsidR="003C58C1" w:rsidRPr="0010018F" w:rsidRDefault="003C58C1" w:rsidP="003C58C1">
      <w:pPr>
        <w:rPr>
          <w:rFonts w:ascii="Verdana" w:hAnsi="Verdana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7B578654" w14:textId="77777777" w:rsidR="003C58C1" w:rsidRPr="0010018F" w:rsidRDefault="003C58C1" w:rsidP="003C58C1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p w14:paraId="0CA7C413" w14:textId="77777777" w:rsidR="00EB2464" w:rsidRPr="0010018F" w:rsidRDefault="00EB2464" w:rsidP="1A98FAC5">
      <w:pPr>
        <w:rPr>
          <w:rFonts w:ascii="Verdana" w:hAnsi="Verdana" w:cs="Times New Roman"/>
        </w:rPr>
      </w:pPr>
    </w:p>
    <w:sectPr w:rsidR="00EB2464" w:rsidRPr="0010018F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EC61" w14:textId="77777777" w:rsidR="005E453A" w:rsidRDefault="005E453A" w:rsidP="00950217">
      <w:r>
        <w:separator/>
      </w:r>
    </w:p>
  </w:endnote>
  <w:endnote w:type="continuationSeparator" w:id="0">
    <w:p w14:paraId="1B3DFC25" w14:textId="77777777" w:rsidR="005E453A" w:rsidRDefault="005E453A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2052" w14:textId="77777777" w:rsidR="005E453A" w:rsidRDefault="005E453A" w:rsidP="00950217">
      <w:r>
        <w:separator/>
      </w:r>
    </w:p>
  </w:footnote>
  <w:footnote w:type="continuationSeparator" w:id="0">
    <w:p w14:paraId="2A05638B" w14:textId="77777777" w:rsidR="005E453A" w:rsidRDefault="005E453A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5311"/>
    <w:rsid w:val="000D76D9"/>
    <w:rsid w:val="0010018F"/>
    <w:rsid w:val="00132BE5"/>
    <w:rsid w:val="00172F0D"/>
    <w:rsid w:val="00183A5B"/>
    <w:rsid w:val="001C5C06"/>
    <w:rsid w:val="002234DC"/>
    <w:rsid w:val="00232AE0"/>
    <w:rsid w:val="00233659"/>
    <w:rsid w:val="0023402E"/>
    <w:rsid w:val="00241FB3"/>
    <w:rsid w:val="002669D7"/>
    <w:rsid w:val="00283696"/>
    <w:rsid w:val="00283BA1"/>
    <w:rsid w:val="0029077D"/>
    <w:rsid w:val="002C2478"/>
    <w:rsid w:val="002C7F50"/>
    <w:rsid w:val="002D5CD2"/>
    <w:rsid w:val="003076C0"/>
    <w:rsid w:val="00323D37"/>
    <w:rsid w:val="00330FD9"/>
    <w:rsid w:val="00377D36"/>
    <w:rsid w:val="003B0020"/>
    <w:rsid w:val="003C58C1"/>
    <w:rsid w:val="003D10AA"/>
    <w:rsid w:val="003E373F"/>
    <w:rsid w:val="0042301A"/>
    <w:rsid w:val="00451D63"/>
    <w:rsid w:val="004601D8"/>
    <w:rsid w:val="004D6840"/>
    <w:rsid w:val="00507D19"/>
    <w:rsid w:val="005423E5"/>
    <w:rsid w:val="005755DA"/>
    <w:rsid w:val="005A1A74"/>
    <w:rsid w:val="005A3F85"/>
    <w:rsid w:val="005C4EEB"/>
    <w:rsid w:val="005E453A"/>
    <w:rsid w:val="005E467A"/>
    <w:rsid w:val="006014DF"/>
    <w:rsid w:val="0063380F"/>
    <w:rsid w:val="006B6611"/>
    <w:rsid w:val="006C630D"/>
    <w:rsid w:val="006E1C78"/>
    <w:rsid w:val="006E32FB"/>
    <w:rsid w:val="00733A93"/>
    <w:rsid w:val="0074326E"/>
    <w:rsid w:val="007C3871"/>
    <w:rsid w:val="007E7728"/>
    <w:rsid w:val="007F0D20"/>
    <w:rsid w:val="008147DB"/>
    <w:rsid w:val="00826473"/>
    <w:rsid w:val="00835ABF"/>
    <w:rsid w:val="0084765B"/>
    <w:rsid w:val="00870270"/>
    <w:rsid w:val="008719D3"/>
    <w:rsid w:val="00884387"/>
    <w:rsid w:val="00891D77"/>
    <w:rsid w:val="008973EC"/>
    <w:rsid w:val="008B23D2"/>
    <w:rsid w:val="008E47E2"/>
    <w:rsid w:val="008F3EFC"/>
    <w:rsid w:val="0094053F"/>
    <w:rsid w:val="009457A0"/>
    <w:rsid w:val="00950217"/>
    <w:rsid w:val="009604D8"/>
    <w:rsid w:val="0097181F"/>
    <w:rsid w:val="009A4973"/>
    <w:rsid w:val="009B2559"/>
    <w:rsid w:val="00A07044"/>
    <w:rsid w:val="00A0775C"/>
    <w:rsid w:val="00A278F5"/>
    <w:rsid w:val="00A445F8"/>
    <w:rsid w:val="00A51C2E"/>
    <w:rsid w:val="00A76169"/>
    <w:rsid w:val="00A96E21"/>
    <w:rsid w:val="00AE1BA2"/>
    <w:rsid w:val="00AE291C"/>
    <w:rsid w:val="00B64464"/>
    <w:rsid w:val="00B65E65"/>
    <w:rsid w:val="00BA014C"/>
    <w:rsid w:val="00BA1CBE"/>
    <w:rsid w:val="00BB35A3"/>
    <w:rsid w:val="00BD216F"/>
    <w:rsid w:val="00BE202A"/>
    <w:rsid w:val="00BE4C5C"/>
    <w:rsid w:val="00BE691F"/>
    <w:rsid w:val="00BE6DE5"/>
    <w:rsid w:val="00C07E0B"/>
    <w:rsid w:val="00C141C8"/>
    <w:rsid w:val="00C15CA9"/>
    <w:rsid w:val="00C414FA"/>
    <w:rsid w:val="00C42C5A"/>
    <w:rsid w:val="00C84850"/>
    <w:rsid w:val="00CA246F"/>
    <w:rsid w:val="00CB079E"/>
    <w:rsid w:val="00CD04A9"/>
    <w:rsid w:val="00CF72F1"/>
    <w:rsid w:val="00D020F9"/>
    <w:rsid w:val="00D0390A"/>
    <w:rsid w:val="00D55C6F"/>
    <w:rsid w:val="00D919C7"/>
    <w:rsid w:val="00DA4990"/>
    <w:rsid w:val="00DC38C1"/>
    <w:rsid w:val="00DC7FC9"/>
    <w:rsid w:val="00E301A8"/>
    <w:rsid w:val="00E377DA"/>
    <w:rsid w:val="00E44F25"/>
    <w:rsid w:val="00E51136"/>
    <w:rsid w:val="00E52979"/>
    <w:rsid w:val="00E6135C"/>
    <w:rsid w:val="00EB2464"/>
    <w:rsid w:val="00EB343C"/>
    <w:rsid w:val="00EB4305"/>
    <w:rsid w:val="00EC5230"/>
    <w:rsid w:val="00EC71E1"/>
    <w:rsid w:val="00ED2FA1"/>
    <w:rsid w:val="00F021DD"/>
    <w:rsid w:val="00F56B68"/>
    <w:rsid w:val="00F82360"/>
    <w:rsid w:val="00F83C31"/>
    <w:rsid w:val="00FD0B92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0F460A18-3995-4499-8A83-A0F163C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95</cp:revision>
  <cp:lastPrinted>2025-01-21T20:44:00Z</cp:lastPrinted>
  <dcterms:created xsi:type="dcterms:W3CDTF">2024-02-01T19:25:00Z</dcterms:created>
  <dcterms:modified xsi:type="dcterms:W3CDTF">2025-01-21T20:46:00Z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